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05" w:rsidRPr="00497FD2" w:rsidRDefault="00497FD2" w:rsidP="00DC554B">
      <w:pPr>
        <w:rPr>
          <w:b/>
          <w:bCs/>
          <w:sz w:val="28"/>
          <w:szCs w:val="36"/>
        </w:rPr>
      </w:pPr>
      <w:r w:rsidRPr="00497FD2">
        <w:rPr>
          <w:b/>
          <w:bCs/>
          <w:noProof/>
          <w:sz w:val="18"/>
          <w:lang w:eastAsia="ko-KR"/>
        </w:rPr>
        <w:drawing>
          <wp:anchor distT="0" distB="0" distL="114300" distR="114300" simplePos="0" relativeHeight="251661312" behindDoc="0" locked="0" layoutInCell="1" allowOverlap="1" wp14:anchorId="5E9BC491" wp14:editId="18D0E2E4">
            <wp:simplePos x="0" y="0"/>
            <wp:positionH relativeFrom="margin">
              <wp:posOffset>5272405</wp:posOffset>
            </wp:positionH>
            <wp:positionV relativeFrom="paragraph">
              <wp:posOffset>12065</wp:posOffset>
            </wp:positionV>
            <wp:extent cx="1452245" cy="1146175"/>
            <wp:effectExtent l="0" t="0" r="0" b="0"/>
            <wp:wrapThrough wrapText="bothSides">
              <wp:wrapPolygon edited="0">
                <wp:start x="9067" y="1077"/>
                <wp:lineTo x="5100" y="6462"/>
                <wp:lineTo x="3117" y="7898"/>
                <wp:lineTo x="2550" y="9693"/>
                <wp:lineTo x="3400" y="15078"/>
                <wp:lineTo x="5667" y="18309"/>
                <wp:lineTo x="6800" y="19027"/>
                <wp:lineTo x="9067" y="19027"/>
                <wp:lineTo x="18984" y="14001"/>
                <wp:lineTo x="18984" y="6462"/>
                <wp:lineTo x="14734" y="3231"/>
                <wp:lineTo x="10767" y="1077"/>
                <wp:lineTo x="9067" y="1077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56609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54B" w:rsidRPr="00497FD2" w:rsidRDefault="00497FD2" w:rsidP="00DC554B">
      <w:pPr>
        <w:rPr>
          <w:b/>
          <w:bCs/>
          <w:sz w:val="36"/>
          <w:szCs w:val="42"/>
        </w:rPr>
      </w:pPr>
      <w:r w:rsidRPr="00497FD2">
        <w:rPr>
          <w:b/>
          <w:bCs/>
          <w:sz w:val="28"/>
          <w:szCs w:val="36"/>
          <w:lang w:val="ru-RU"/>
        </w:rPr>
        <w:t>Вопросы и ответы о Плане по снижению рисков для Филадельфии</w:t>
      </w:r>
    </w:p>
    <w:p w:rsidR="00386405" w:rsidRPr="00497FD2" w:rsidRDefault="00386405" w:rsidP="00DC554B">
      <w:pPr>
        <w:rPr>
          <w:b/>
          <w:bCs/>
          <w:szCs w:val="26"/>
        </w:rPr>
      </w:pPr>
    </w:p>
    <w:p w:rsidR="00386405" w:rsidRPr="00497FD2" w:rsidRDefault="00386405" w:rsidP="00DC554B">
      <w:pPr>
        <w:rPr>
          <w:b/>
          <w:bCs/>
          <w:szCs w:val="26"/>
        </w:rPr>
      </w:pPr>
    </w:p>
    <w:p w:rsidR="00DC554B" w:rsidRPr="00497FD2" w:rsidRDefault="00497FD2" w:rsidP="00DC554B">
      <w:pPr>
        <w:rPr>
          <w:b/>
          <w:bCs/>
          <w:szCs w:val="26"/>
        </w:rPr>
      </w:pPr>
      <w:r w:rsidRPr="00497FD2">
        <w:rPr>
          <w:b/>
          <w:bCs/>
          <w:szCs w:val="26"/>
          <w:lang w:val="ru-RU"/>
        </w:rPr>
        <w:t>Вопрос:</w:t>
      </w:r>
      <w:r w:rsidRPr="00497FD2">
        <w:rPr>
          <w:bCs/>
          <w:szCs w:val="26"/>
          <w:lang w:val="ru-RU"/>
        </w:rPr>
        <w:t xml:space="preserve"> </w:t>
      </w:r>
      <w:r w:rsidRPr="00497FD2">
        <w:rPr>
          <w:b/>
          <w:bCs/>
          <w:szCs w:val="26"/>
          <w:lang w:val="ru-RU"/>
        </w:rPr>
        <w:t>Что такое План по снижению рисков?</w:t>
      </w:r>
    </w:p>
    <w:p w:rsidR="00DC554B" w:rsidRPr="00497FD2" w:rsidRDefault="00DC554B" w:rsidP="00DC554B">
      <w:pPr>
        <w:rPr>
          <w:b/>
          <w:bCs/>
          <w:sz w:val="18"/>
          <w:u w:val="single"/>
        </w:rPr>
      </w:pPr>
    </w:p>
    <w:p w:rsidR="00723811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b/>
          <w:bCs/>
          <w:szCs w:val="26"/>
          <w:lang w:val="ru-RU"/>
        </w:rPr>
        <w:t xml:space="preserve">Ответ: </w:t>
      </w:r>
      <w:r w:rsidR="00691E3A" w:rsidRPr="00497FD2">
        <w:rPr>
          <w:sz w:val="20"/>
          <w:szCs w:val="24"/>
          <w:u w:val="single"/>
          <w:lang w:val="ru-RU"/>
        </w:rPr>
        <w:t>Снижение риска</w:t>
      </w:r>
      <w:r w:rsidR="00691E3A" w:rsidRPr="00497FD2">
        <w:rPr>
          <w:sz w:val="20"/>
          <w:szCs w:val="24"/>
          <w:lang w:val="ru-RU"/>
        </w:rPr>
        <w:t xml:space="preserve"> — это меры по уменьшению или исключению риска естественных, антропогенных или технологических катастроф. В </w:t>
      </w:r>
      <w:r w:rsidR="00691E3A" w:rsidRPr="00497FD2">
        <w:rPr>
          <w:sz w:val="20"/>
          <w:szCs w:val="24"/>
          <w:u w:val="single"/>
          <w:lang w:val="ru-RU"/>
        </w:rPr>
        <w:t>Плане по снижению рисков (Hazard Mitigation Plan, HMP)</w:t>
      </w:r>
      <w:r w:rsidR="00691E3A" w:rsidRPr="00497FD2">
        <w:rPr>
          <w:sz w:val="20"/>
          <w:szCs w:val="24"/>
          <w:lang w:val="ru-RU"/>
        </w:rPr>
        <w:t xml:space="preserve"> описываются естественные и антропогенные опасности, распространенные в Филадельфии, например наводнения и снежные бури. Также в Плане содержится список проекто</w:t>
      </w:r>
      <w:bookmarkStart w:id="0" w:name="_GoBack"/>
      <w:bookmarkEnd w:id="0"/>
      <w:r w:rsidR="00691E3A" w:rsidRPr="00497FD2">
        <w:rPr>
          <w:sz w:val="20"/>
          <w:szCs w:val="24"/>
          <w:lang w:val="ru-RU"/>
        </w:rPr>
        <w:t xml:space="preserve">в городской администрации, которые позволяют заранее снизить возможный ущерб от бедствий. Проекты распределены по степени приоритетности. Актуальный План по снижению рисков был принят Городским советом в мае 2022 г. В 2024 г. Управление по ЧС (Office of Emergency Management, OEM) при сотрудничестве с городской администрацией и общественными партнерами выпустит полноценное обновление Плана. </w:t>
      </w:r>
    </w:p>
    <w:p w:rsidR="00981707" w:rsidRPr="00497FD2" w:rsidRDefault="00981707" w:rsidP="00992407">
      <w:pPr>
        <w:rPr>
          <w:b/>
          <w:bCs/>
          <w:szCs w:val="26"/>
          <w:lang w:val="ru-RU"/>
        </w:rPr>
      </w:pPr>
    </w:p>
    <w:p w:rsidR="00981707" w:rsidRPr="00497FD2" w:rsidRDefault="00497FD2" w:rsidP="00992407">
      <w:pPr>
        <w:rPr>
          <w:b/>
          <w:bCs/>
          <w:szCs w:val="26"/>
          <w:lang w:val="ru-RU"/>
        </w:rPr>
      </w:pPr>
      <w:r w:rsidRPr="00497FD2">
        <w:rPr>
          <w:b/>
          <w:bCs/>
          <w:szCs w:val="26"/>
          <w:lang w:val="ru-RU"/>
        </w:rPr>
        <w:t>Вопрос:</w:t>
      </w:r>
      <w:r w:rsidRPr="00497FD2">
        <w:rPr>
          <w:bCs/>
          <w:szCs w:val="26"/>
          <w:lang w:val="ru-RU"/>
        </w:rPr>
        <w:t xml:space="preserve"> </w:t>
      </w:r>
      <w:r w:rsidRPr="00497FD2">
        <w:rPr>
          <w:b/>
          <w:bCs/>
          <w:szCs w:val="26"/>
          <w:lang w:val="ru-RU"/>
        </w:rPr>
        <w:t>Почему важно иметь План по снижению рисков?</w:t>
      </w:r>
    </w:p>
    <w:p w:rsidR="00981707" w:rsidRPr="00497FD2" w:rsidRDefault="00981707" w:rsidP="00992407">
      <w:pPr>
        <w:rPr>
          <w:sz w:val="18"/>
          <w:lang w:val="ru-RU"/>
        </w:rPr>
      </w:pPr>
    </w:p>
    <w:p w:rsidR="00981707" w:rsidRPr="00497FD2" w:rsidRDefault="00497FD2" w:rsidP="00992407">
      <w:pPr>
        <w:rPr>
          <w:b/>
          <w:bCs/>
          <w:sz w:val="20"/>
          <w:szCs w:val="24"/>
          <w:lang w:val="ru-RU"/>
        </w:rPr>
      </w:pPr>
      <w:r w:rsidRPr="00497FD2">
        <w:rPr>
          <w:b/>
          <w:bCs/>
          <w:sz w:val="20"/>
          <w:szCs w:val="24"/>
          <w:lang w:val="ru-RU"/>
        </w:rPr>
        <w:t xml:space="preserve">Ответ: </w:t>
      </w:r>
      <w:r w:rsidRPr="00497FD2">
        <w:rPr>
          <w:bCs/>
          <w:sz w:val="20"/>
          <w:szCs w:val="24"/>
          <w:lang w:val="ru-RU"/>
        </w:rPr>
        <w:t xml:space="preserve">Снижение рисков в рамках четкого плана считается наиболее эффективным. Вот несколько преимуществ Плана по снижению рисков: </w:t>
      </w:r>
      <w:r w:rsidRPr="00497FD2">
        <w:rPr>
          <w:b/>
          <w:bCs/>
          <w:sz w:val="20"/>
          <w:szCs w:val="24"/>
          <w:lang w:val="ru-RU"/>
        </w:rPr>
        <w:t xml:space="preserve"> </w:t>
      </w:r>
    </w:p>
    <w:p w:rsidR="00691E3A" w:rsidRPr="00497FD2" w:rsidRDefault="00691E3A" w:rsidP="00992407">
      <w:pPr>
        <w:rPr>
          <w:b/>
          <w:bCs/>
          <w:sz w:val="20"/>
          <w:szCs w:val="24"/>
          <w:lang w:val="ru-RU"/>
        </w:rPr>
      </w:pPr>
    </w:p>
    <w:p w:rsidR="00691E3A" w:rsidRPr="00497FD2" w:rsidRDefault="00497FD2" w:rsidP="00691E3A">
      <w:pPr>
        <w:ind w:left="720"/>
        <w:rPr>
          <w:sz w:val="20"/>
          <w:szCs w:val="24"/>
          <w:lang w:val="ru-RU"/>
        </w:rPr>
      </w:pPr>
      <w:r w:rsidRPr="00497FD2">
        <w:rPr>
          <w:b/>
          <w:bCs/>
          <w:sz w:val="20"/>
          <w:szCs w:val="24"/>
          <w:lang w:val="ru-RU"/>
        </w:rPr>
        <w:t xml:space="preserve">Спасение жизней и снижение ущерба. </w:t>
      </w:r>
      <w:r w:rsidRPr="00497FD2">
        <w:rPr>
          <w:sz w:val="20"/>
          <w:szCs w:val="24"/>
          <w:lang w:val="ru-RU"/>
        </w:rPr>
        <w:t>Если мы знаем, как снизить риски, еще до чрезвычайной ситуации, мы сохраняем множество жизней и</w:t>
      </w:r>
      <w:r w:rsidRPr="00497FD2">
        <w:rPr>
          <w:sz w:val="20"/>
          <w:szCs w:val="24"/>
          <w:lang w:val="ru-RU"/>
        </w:rPr>
        <w:t xml:space="preserve"> предотвращаем ущерб частной и общественной собственности.</w:t>
      </w:r>
    </w:p>
    <w:p w:rsidR="00691E3A" w:rsidRPr="00497FD2" w:rsidRDefault="00497FD2" w:rsidP="00992407">
      <w:pPr>
        <w:rPr>
          <w:b/>
          <w:bCs/>
          <w:sz w:val="20"/>
          <w:szCs w:val="24"/>
          <w:lang w:val="ru-RU"/>
        </w:rPr>
      </w:pPr>
      <w:r w:rsidRPr="00497FD2">
        <w:rPr>
          <w:b/>
          <w:bCs/>
          <w:sz w:val="20"/>
          <w:szCs w:val="24"/>
          <w:lang w:val="ru-RU"/>
        </w:rPr>
        <w:tab/>
      </w:r>
    </w:p>
    <w:p w:rsidR="00691E3A" w:rsidRPr="00497FD2" w:rsidRDefault="00497FD2" w:rsidP="00D813BB">
      <w:pPr>
        <w:ind w:left="720"/>
        <w:rPr>
          <w:sz w:val="20"/>
          <w:szCs w:val="24"/>
          <w:lang w:val="ru-RU"/>
        </w:rPr>
      </w:pPr>
      <w:r w:rsidRPr="00497FD2">
        <w:rPr>
          <w:b/>
          <w:bCs/>
          <w:sz w:val="20"/>
          <w:szCs w:val="24"/>
          <w:lang w:val="ru-RU"/>
        </w:rPr>
        <w:t xml:space="preserve">Экономия бюджета. </w:t>
      </w:r>
      <w:r w:rsidRPr="00497FD2">
        <w:rPr>
          <w:sz w:val="20"/>
          <w:szCs w:val="24"/>
          <w:lang w:val="ru-RU"/>
        </w:rPr>
        <w:t>Согласно исследованию Национального института строительных наук (National Institute of Building Sciences) от 2019 г., каждый доллар потраченный на снижение рисков экономит 6 дол</w:t>
      </w:r>
      <w:r w:rsidRPr="00497FD2">
        <w:rPr>
          <w:sz w:val="20"/>
          <w:szCs w:val="24"/>
          <w:lang w:val="ru-RU"/>
        </w:rPr>
        <w:t>ларов, которые были бы потрачены на меры по восстановлению и реагированию.</w:t>
      </w:r>
    </w:p>
    <w:p w:rsidR="00D813BB" w:rsidRPr="00497FD2" w:rsidRDefault="00D813BB" w:rsidP="00D813BB">
      <w:pPr>
        <w:ind w:left="720"/>
        <w:rPr>
          <w:sz w:val="20"/>
          <w:szCs w:val="24"/>
          <w:lang w:val="ru-RU"/>
        </w:rPr>
      </w:pPr>
    </w:p>
    <w:p w:rsidR="00D813BB" w:rsidRPr="00497FD2" w:rsidRDefault="00497FD2" w:rsidP="00D813BB">
      <w:pPr>
        <w:ind w:left="720"/>
        <w:rPr>
          <w:sz w:val="20"/>
          <w:szCs w:val="24"/>
          <w:lang w:val="ru-RU"/>
        </w:rPr>
      </w:pPr>
      <w:r w:rsidRPr="00497FD2">
        <w:rPr>
          <w:b/>
          <w:bCs/>
          <w:sz w:val="20"/>
          <w:szCs w:val="24"/>
          <w:lang w:val="ru-RU"/>
        </w:rPr>
        <w:t>Возможности финансирования.</w:t>
      </w:r>
      <w:r w:rsidRPr="00497FD2">
        <w:rPr>
          <w:sz w:val="20"/>
          <w:szCs w:val="24"/>
          <w:lang w:val="ru-RU"/>
        </w:rPr>
        <w:t xml:space="preserve"> Чтобы и дальше получать гранты на снижение рисков от Федерального агентства по управлению при ЧС (Federal Emergency Management Agency, FEMA), необходимо</w:t>
      </w:r>
      <w:r w:rsidRPr="00497FD2">
        <w:rPr>
          <w:sz w:val="20"/>
          <w:szCs w:val="24"/>
          <w:lang w:val="ru-RU"/>
        </w:rPr>
        <w:t xml:space="preserve"> каждые пять лет выпускать новую редакцию Плана по снижению рисков. Перечислим несколько грантов от FEMA: грант На формирование устойчивой инфраструктуры и сообществ (Building Resilient Infrastructure and Communities, BRIC), На поддержку защиты от наводнен</w:t>
      </w:r>
      <w:r w:rsidRPr="00497FD2">
        <w:rPr>
          <w:sz w:val="20"/>
          <w:szCs w:val="24"/>
          <w:lang w:val="ru-RU"/>
        </w:rPr>
        <w:t xml:space="preserve">ий (Flood Mitigation Assistance, FMA) и Грантовая программа по снижению рисков (Hazard Mitigation Grant Program, HMGP). Дополнительные выплаты проводятся через эти гранты в соответствии с Законом об инвестициях в инфраструктуру и рабочие места. </w:t>
      </w:r>
    </w:p>
    <w:p w:rsidR="00B61612" w:rsidRPr="00497FD2" w:rsidRDefault="00B61612" w:rsidP="00D813BB">
      <w:pPr>
        <w:ind w:left="720"/>
        <w:rPr>
          <w:sz w:val="20"/>
          <w:szCs w:val="24"/>
          <w:lang w:val="ru-RU"/>
        </w:rPr>
      </w:pPr>
    </w:p>
    <w:p w:rsidR="00B61612" w:rsidRPr="00497FD2" w:rsidRDefault="00497FD2" w:rsidP="00D813BB">
      <w:pPr>
        <w:ind w:left="720"/>
        <w:rPr>
          <w:sz w:val="20"/>
          <w:szCs w:val="24"/>
          <w:lang w:val="ru-RU"/>
        </w:rPr>
      </w:pPr>
      <w:r w:rsidRPr="00497FD2">
        <w:rPr>
          <w:b/>
          <w:bCs/>
          <w:sz w:val="20"/>
          <w:szCs w:val="24"/>
          <w:lang w:val="ru-RU"/>
        </w:rPr>
        <w:t>Повышение</w:t>
      </w:r>
      <w:r w:rsidRPr="00497FD2">
        <w:rPr>
          <w:b/>
          <w:bCs/>
          <w:sz w:val="20"/>
          <w:szCs w:val="24"/>
          <w:lang w:val="ru-RU"/>
        </w:rPr>
        <w:t xml:space="preserve"> осведомленности об опасностях и подготовке к ним. </w:t>
      </w:r>
      <w:r w:rsidRPr="00497FD2">
        <w:rPr>
          <w:sz w:val="20"/>
          <w:szCs w:val="24"/>
          <w:lang w:val="ru-RU"/>
        </w:rPr>
        <w:t>В процессе создания Плана по снижению рисков ведется активная работа с городскими партнерами и общественностью. Это позволяет жителям Филадельфии больше узнать о наиболее опасных для них ЧС, подготовке к н</w:t>
      </w:r>
      <w:r w:rsidRPr="00497FD2">
        <w:rPr>
          <w:sz w:val="20"/>
          <w:szCs w:val="24"/>
          <w:lang w:val="ru-RU"/>
        </w:rPr>
        <w:t>им и мерах по снижению риска.</w:t>
      </w:r>
    </w:p>
    <w:p w:rsidR="00350AD0" w:rsidRPr="00497FD2" w:rsidRDefault="00350AD0" w:rsidP="00350AD0">
      <w:pPr>
        <w:rPr>
          <w:b/>
          <w:bCs/>
          <w:sz w:val="20"/>
          <w:szCs w:val="24"/>
          <w:lang w:val="ru-RU"/>
        </w:rPr>
      </w:pPr>
    </w:p>
    <w:p w:rsidR="00B61612" w:rsidRPr="00497FD2" w:rsidRDefault="00497FD2" w:rsidP="00350AD0">
      <w:pPr>
        <w:ind w:left="720"/>
        <w:rPr>
          <w:sz w:val="20"/>
          <w:szCs w:val="24"/>
          <w:lang w:val="ru-RU"/>
        </w:rPr>
      </w:pPr>
      <w:r w:rsidRPr="00497FD2">
        <w:rPr>
          <w:b/>
          <w:bCs/>
          <w:sz w:val="20"/>
          <w:szCs w:val="24"/>
          <w:lang w:val="ru-RU"/>
        </w:rPr>
        <w:t xml:space="preserve">Создание партнерских отношений. </w:t>
      </w:r>
      <w:r w:rsidRPr="00497FD2">
        <w:rPr>
          <w:sz w:val="20"/>
          <w:szCs w:val="24"/>
          <w:lang w:val="ru-RU"/>
        </w:rPr>
        <w:t xml:space="preserve">В составлении редакции 2022 г. приняли участие более 80 управлений и организаций со стороны города, штата и государства, а также частные партнеры и общественные организации. </w:t>
      </w:r>
      <w:r w:rsidRPr="00497FD2">
        <w:rPr>
          <w:sz w:val="20"/>
          <w:szCs w:val="23"/>
          <w:lang w:val="ru-RU"/>
        </w:rPr>
        <w:t>Процесс планировани</w:t>
      </w:r>
      <w:r w:rsidRPr="00497FD2">
        <w:rPr>
          <w:sz w:val="20"/>
          <w:szCs w:val="23"/>
          <w:lang w:val="ru-RU"/>
        </w:rPr>
        <w:t xml:space="preserve">я объединяет людей и сообщества — и это обеспечивает успешную реализацию </w:t>
      </w:r>
      <w:r w:rsidRPr="00497FD2">
        <w:rPr>
          <w:sz w:val="20"/>
          <w:szCs w:val="24"/>
          <w:lang w:val="ru-RU"/>
        </w:rPr>
        <w:t xml:space="preserve"> </w:t>
      </w:r>
      <w:r w:rsidR="00350AD0" w:rsidRPr="00497FD2">
        <w:rPr>
          <w:sz w:val="20"/>
          <w:szCs w:val="23"/>
          <w:lang w:val="ru-RU"/>
        </w:rPr>
        <w:t>проектов по снижению рисков.</w:t>
      </w:r>
      <w:r w:rsidRPr="00497FD2">
        <w:rPr>
          <w:sz w:val="20"/>
          <w:szCs w:val="24"/>
          <w:lang w:val="ru-RU"/>
        </w:rPr>
        <w:t xml:space="preserve"> </w:t>
      </w:r>
    </w:p>
    <w:p w:rsidR="00350AD0" w:rsidRPr="00497FD2" w:rsidRDefault="00350AD0" w:rsidP="00350AD0">
      <w:pPr>
        <w:ind w:left="4320"/>
        <w:rPr>
          <w:sz w:val="20"/>
          <w:szCs w:val="24"/>
          <w:lang w:val="ru-RU"/>
        </w:rPr>
      </w:pPr>
    </w:p>
    <w:p w:rsidR="00350AD0" w:rsidRPr="00497FD2" w:rsidRDefault="00350AD0" w:rsidP="00386405">
      <w:pPr>
        <w:rPr>
          <w:sz w:val="20"/>
          <w:szCs w:val="24"/>
          <w:lang w:val="ru-RU"/>
        </w:rPr>
      </w:pPr>
    </w:p>
    <w:p w:rsidR="00350AD0" w:rsidRPr="00497FD2" w:rsidRDefault="00497FD2" w:rsidP="00887DCC">
      <w:pPr>
        <w:ind w:left="2160" w:firstLine="720"/>
        <w:rPr>
          <w:b/>
          <w:bCs/>
          <w:szCs w:val="26"/>
          <w:lang w:val="ru-RU"/>
        </w:rPr>
      </w:pPr>
      <w:r w:rsidRPr="00497FD2">
        <w:rPr>
          <w:b/>
          <w:bCs/>
          <w:szCs w:val="26"/>
          <w:lang w:val="ru-RU"/>
        </w:rPr>
        <w:t>Вопрос:</w:t>
      </w:r>
      <w:r w:rsidRPr="00497FD2">
        <w:rPr>
          <w:bCs/>
          <w:szCs w:val="26"/>
          <w:lang w:val="ru-RU"/>
        </w:rPr>
        <w:t xml:space="preserve"> </w:t>
      </w:r>
      <w:r w:rsidRPr="00497FD2">
        <w:rPr>
          <w:b/>
          <w:bCs/>
          <w:szCs w:val="26"/>
          <w:lang w:val="ru-RU"/>
        </w:rPr>
        <w:t>На что будут обращать внимание при составлении следующего плана?</w:t>
      </w:r>
    </w:p>
    <w:p w:rsidR="00350AD0" w:rsidRPr="00497FD2" w:rsidRDefault="00497FD2" w:rsidP="00404AB6">
      <w:pPr>
        <w:ind w:left="3368"/>
        <w:rPr>
          <w:sz w:val="20"/>
          <w:szCs w:val="24"/>
          <w:lang w:val="ru-RU"/>
        </w:rPr>
      </w:pPr>
      <w:r w:rsidRPr="00497FD2">
        <w:rPr>
          <w:b/>
          <w:bCs/>
          <w:noProof/>
          <w:sz w:val="18"/>
          <w:u w:val="single"/>
          <w:lang w:eastAsia="ko-KR"/>
        </w:rPr>
        <w:drawing>
          <wp:anchor distT="0" distB="0" distL="114300" distR="114300" simplePos="0" relativeHeight="251658240" behindDoc="0" locked="0" layoutInCell="1" allowOverlap="1" wp14:anchorId="209D141B" wp14:editId="45190A07">
            <wp:simplePos x="0" y="0"/>
            <wp:positionH relativeFrom="margin">
              <wp:posOffset>114300</wp:posOffset>
            </wp:positionH>
            <wp:positionV relativeFrom="paragraph">
              <wp:posOffset>3175</wp:posOffset>
            </wp:positionV>
            <wp:extent cx="1639570" cy="1579880"/>
            <wp:effectExtent l="0" t="0" r="0" b="1270"/>
            <wp:wrapNone/>
            <wp:docPr id="30" name="Picture 29">
              <a:extLst xmlns:a="http://schemas.openxmlformats.org/drawingml/2006/main">
                <a:ext uri="{FF2B5EF4-FFF2-40B4-BE49-F238E27FC236}">
                  <a16:creationId xmlns:a16="http://schemas.microsoft.com/office/drawing/2014/main" id="{A16E899D-F1F1-472A-B446-E234604C08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27828" name="Picture 29">
                      <a:extLst>
                        <a:ext uri="{FF2B5EF4-FFF2-40B4-BE49-F238E27FC236}">
                          <a16:creationId xmlns:a16="http://schemas.microsoft.com/office/drawing/2014/main" id="{A16E899D-F1F1-472A-B446-E234604C08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DCC" w:rsidRPr="00497FD2">
        <w:rPr>
          <w:b/>
          <w:bCs/>
          <w:sz w:val="20"/>
          <w:szCs w:val="24"/>
          <w:lang w:val="ru-RU"/>
        </w:rPr>
        <w:t xml:space="preserve">Ответ: </w:t>
      </w:r>
      <w:r w:rsidR="00887DCC" w:rsidRPr="00497FD2">
        <w:rPr>
          <w:sz w:val="20"/>
          <w:szCs w:val="24"/>
          <w:lang w:val="ru-RU"/>
        </w:rPr>
        <w:t xml:space="preserve">Приоритетными в этом году будут вопросы </w:t>
      </w:r>
      <w:r w:rsidR="00887DCC" w:rsidRPr="00497FD2">
        <w:rPr>
          <w:sz w:val="20"/>
          <w:szCs w:val="24"/>
          <w:u w:val="single"/>
          <w:lang w:val="ru-RU"/>
        </w:rPr>
        <w:t>равенства</w:t>
      </w:r>
      <w:r w:rsidR="00887DCC" w:rsidRPr="00497FD2">
        <w:rPr>
          <w:sz w:val="20"/>
          <w:szCs w:val="24"/>
          <w:lang w:val="ru-RU"/>
        </w:rPr>
        <w:t xml:space="preserve">, использования новых данных об </w:t>
      </w:r>
      <w:r w:rsidR="00887DCC" w:rsidRPr="00497FD2">
        <w:rPr>
          <w:sz w:val="20"/>
          <w:szCs w:val="24"/>
          <w:u w:val="single"/>
          <w:lang w:val="ru-RU"/>
        </w:rPr>
        <w:t>изменении климата</w:t>
      </w:r>
      <w:r w:rsidR="00887DCC" w:rsidRPr="00497FD2">
        <w:rPr>
          <w:sz w:val="20"/>
          <w:szCs w:val="24"/>
          <w:lang w:val="ru-RU"/>
        </w:rPr>
        <w:t xml:space="preserve">, а также повышение </w:t>
      </w:r>
      <w:r w:rsidR="00887DCC" w:rsidRPr="00497FD2">
        <w:rPr>
          <w:sz w:val="20"/>
          <w:szCs w:val="24"/>
          <w:u w:val="single"/>
          <w:lang w:val="ru-RU"/>
        </w:rPr>
        <w:t>роли общественности</w:t>
      </w:r>
      <w:r w:rsidR="00887DCC" w:rsidRPr="00497FD2">
        <w:rPr>
          <w:sz w:val="20"/>
          <w:szCs w:val="24"/>
          <w:lang w:val="ru-RU"/>
        </w:rPr>
        <w:t xml:space="preserve"> в снижении рисков.</w:t>
      </w:r>
    </w:p>
    <w:p w:rsidR="00887DCC" w:rsidRPr="00497FD2" w:rsidRDefault="00887DCC" w:rsidP="00887DCC">
      <w:pPr>
        <w:ind w:left="2880" w:firstLine="720"/>
        <w:rPr>
          <w:sz w:val="20"/>
          <w:szCs w:val="24"/>
          <w:u w:val="single"/>
          <w:lang w:val="ru-RU"/>
        </w:rPr>
      </w:pPr>
    </w:p>
    <w:p w:rsidR="00887DCC" w:rsidRPr="00497FD2" w:rsidRDefault="00497FD2" w:rsidP="00887DCC">
      <w:pPr>
        <w:ind w:left="3600"/>
        <w:rPr>
          <w:sz w:val="20"/>
          <w:szCs w:val="24"/>
        </w:rPr>
      </w:pPr>
      <w:r w:rsidRPr="00497FD2">
        <w:rPr>
          <w:sz w:val="20"/>
          <w:szCs w:val="24"/>
          <w:lang w:val="ru-RU"/>
        </w:rPr>
        <w:t xml:space="preserve">Подробнее о приоритетах Плана в редакции 2022 г. можно узнать в Аннотации к </w:t>
      </w:r>
      <w:hyperlink r:id="rId7" w:history="1">
        <w:r w:rsidR="00386405" w:rsidRPr="00497FD2">
          <w:rPr>
            <w:rStyle w:val="Hipervnculo"/>
            <w:sz w:val="18"/>
            <w:lang w:val="ru-RU"/>
          </w:rPr>
          <w:t>Плану по снижению рисков в редакции 2022 г.</w:t>
        </w:r>
      </w:hyperlink>
    </w:p>
    <w:p w:rsidR="00386405" w:rsidRPr="00497FD2" w:rsidRDefault="00386405" w:rsidP="00887DCC">
      <w:pPr>
        <w:ind w:left="3600"/>
        <w:rPr>
          <w:sz w:val="20"/>
          <w:szCs w:val="24"/>
        </w:rPr>
      </w:pPr>
    </w:p>
    <w:p w:rsidR="00386405" w:rsidRPr="00497FD2" w:rsidRDefault="00497FD2" w:rsidP="00887DCC">
      <w:pPr>
        <w:ind w:left="3600"/>
        <w:rPr>
          <w:sz w:val="20"/>
          <w:szCs w:val="24"/>
        </w:rPr>
      </w:pPr>
      <w:r w:rsidRPr="00497FD2">
        <w:rPr>
          <w:b/>
          <w:bCs/>
          <w:noProof/>
          <w:sz w:val="18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28D8D" wp14:editId="331D405A">
                <wp:simplePos x="0" y="0"/>
                <wp:positionH relativeFrom="column">
                  <wp:posOffset>1855470</wp:posOffset>
                </wp:positionH>
                <wp:positionV relativeFrom="paragraph">
                  <wp:posOffset>137160</wp:posOffset>
                </wp:positionV>
                <wp:extent cx="6122552" cy="769441"/>
                <wp:effectExtent l="0" t="0" r="0" b="3175"/>
                <wp:wrapNone/>
                <wp:docPr id="3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32FA00-AA2E-4BE7-BAEC-18204CBBD3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52" cy="76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554B" w:rsidRPr="00992407" w:rsidRDefault="00497FD2" w:rsidP="00DC554B">
                            <w:pPr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План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по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снижению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рисков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для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Филадельфии</w:t>
                            </w:r>
                            <w:r w:rsidRPr="00992407">
                              <w:rPr>
                                <w:rFonts w:hAnsi="Calibri" w:cs="Calibri"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5" type="#_x0000_t202" style="width:482.09pt;height:60.59pt;margin-top:10.8pt;margin-left:146.1pt;mso-wrap-distance-bottom:0;mso-wrap-distance-left:9pt;mso-wrap-distance-right:9pt;mso-wrap-distance-top:0;position:absolute;v-text-anchor:top;z-index:251659264" filled="f" fillcolor="this" stroked="f">
                <v:textbox style="mso-fit-shape-to-text:t">
                  <w:txbxContent>
                    <w:p w:rsidR="00DC554B" w:rsidRPr="00992407" w:rsidP="00DC554B" w14:textId="2B993E2F">
                      <w:pPr>
                        <w:bidi w:val="0"/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</w:pPr>
                      <w:r w:rsidRPr="00992407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rtl w:val="0"/>
                          <w:lang w:val="ru-RU"/>
                        </w:rPr>
                        <w:t>План по снижению рисков для Филадельфии</w:t>
                      </w:r>
                      <w:r w:rsidRPr="00992407">
                        <w:rPr>
                          <w:rFonts w:hAnsi="Calibri" w:cs="Calibri"/>
                          <w:b w:val="0"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  <w:rtl w:val="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86405" w:rsidRPr="00497FD2" w:rsidRDefault="00386405" w:rsidP="00887DCC">
      <w:pPr>
        <w:ind w:left="3600"/>
        <w:rPr>
          <w:sz w:val="20"/>
          <w:szCs w:val="24"/>
        </w:rPr>
      </w:pPr>
    </w:p>
    <w:p w:rsidR="00350AD0" w:rsidRPr="00497FD2" w:rsidRDefault="00350AD0" w:rsidP="00386405">
      <w:pPr>
        <w:rPr>
          <w:sz w:val="20"/>
          <w:szCs w:val="24"/>
        </w:rPr>
      </w:pPr>
    </w:p>
    <w:p w:rsidR="00497FD2" w:rsidRDefault="00497FD2" w:rsidP="00981707">
      <w:pPr>
        <w:rPr>
          <w:b/>
          <w:bCs/>
          <w:szCs w:val="26"/>
          <w:lang w:val="ru-RU"/>
        </w:rPr>
      </w:pPr>
    </w:p>
    <w:p w:rsidR="00497FD2" w:rsidRDefault="00497FD2" w:rsidP="00981707">
      <w:pPr>
        <w:rPr>
          <w:b/>
          <w:bCs/>
          <w:szCs w:val="26"/>
          <w:lang w:val="ru-RU"/>
        </w:rPr>
      </w:pPr>
    </w:p>
    <w:p w:rsidR="00981707" w:rsidRPr="00497FD2" w:rsidRDefault="00497FD2" w:rsidP="00981707">
      <w:pPr>
        <w:rPr>
          <w:b/>
          <w:bCs/>
          <w:szCs w:val="26"/>
          <w:lang w:val="ru-RU"/>
        </w:rPr>
      </w:pPr>
      <w:r w:rsidRPr="00497FD2">
        <w:rPr>
          <w:b/>
          <w:bCs/>
          <w:szCs w:val="26"/>
          <w:lang w:val="ru-RU"/>
        </w:rPr>
        <w:lastRenderedPageBreak/>
        <w:t>Вопрос:</w:t>
      </w:r>
      <w:r w:rsidRPr="00497FD2">
        <w:rPr>
          <w:bCs/>
          <w:szCs w:val="26"/>
          <w:lang w:val="ru-RU"/>
        </w:rPr>
        <w:t xml:space="preserve"> </w:t>
      </w:r>
      <w:r w:rsidRPr="00497FD2">
        <w:rPr>
          <w:b/>
          <w:bCs/>
          <w:szCs w:val="26"/>
          <w:lang w:val="ru-RU"/>
        </w:rPr>
        <w:t>Какие опасности включает в себя План по снижению рисков?</w:t>
      </w:r>
    </w:p>
    <w:p w:rsidR="00992407" w:rsidRPr="00497FD2" w:rsidRDefault="00992407" w:rsidP="00992407">
      <w:pPr>
        <w:rPr>
          <w:sz w:val="18"/>
          <w:lang w:val="ru-RU"/>
        </w:rPr>
      </w:pP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b/>
          <w:bCs/>
          <w:szCs w:val="26"/>
          <w:lang w:val="ru-RU"/>
        </w:rPr>
        <w:t xml:space="preserve">Ответ: </w:t>
      </w:r>
      <w:r w:rsidR="00737310" w:rsidRPr="00497FD2">
        <w:rPr>
          <w:sz w:val="20"/>
          <w:szCs w:val="24"/>
          <w:lang w:val="ru-RU"/>
        </w:rPr>
        <w:t>В план вошли как естественные, так и антропогенные ЧС, которые сочли наиболее опасными для Филадельфии. К ним относятся:</w:t>
      </w:r>
    </w:p>
    <w:p w:rsidR="007B5AB8" w:rsidRPr="00497FD2" w:rsidRDefault="007B5AB8" w:rsidP="00992407">
      <w:pPr>
        <w:rPr>
          <w:sz w:val="20"/>
          <w:szCs w:val="24"/>
          <w:lang w:val="ru-RU"/>
        </w:rPr>
      </w:pPr>
    </w:p>
    <w:p w:rsidR="007B5AB8" w:rsidRPr="00497FD2" w:rsidRDefault="007B5AB8" w:rsidP="00992407">
      <w:pPr>
        <w:rPr>
          <w:sz w:val="20"/>
          <w:szCs w:val="24"/>
          <w:lang w:val="ru-RU"/>
        </w:rPr>
        <w:sectPr w:rsidR="007B5AB8" w:rsidRPr="00497FD2" w:rsidSect="00350A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lastRenderedPageBreak/>
        <w:t>Засухи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Землетрясения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Жара или заморозки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Наводнения, угрозы наводнения, ледяные заторы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Ураганы, тропические бури, норд-о</w:t>
      </w:r>
      <w:r w:rsidRPr="00497FD2">
        <w:rPr>
          <w:sz w:val="20"/>
          <w:szCs w:val="24"/>
          <w:lang w:val="ru-RU"/>
        </w:rPr>
        <w:t>ст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 xml:space="preserve">Пандемии и инфекционные заболевания </w:t>
      </w:r>
      <w:r w:rsidRPr="00497FD2">
        <w:rPr>
          <w:b/>
          <w:bCs/>
          <w:sz w:val="20"/>
          <w:szCs w:val="24"/>
          <w:lang w:val="ru-RU"/>
        </w:rPr>
        <w:t>(с 2022 г.)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 xml:space="preserve">Просадка грунта </w:t>
      </w:r>
      <w:r w:rsidRPr="00497FD2">
        <w:rPr>
          <w:b/>
          <w:bCs/>
          <w:sz w:val="20"/>
          <w:szCs w:val="24"/>
          <w:lang w:val="ru-RU"/>
        </w:rPr>
        <w:t>(с 2022 г.)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Торнадо, штормы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Бураны</w:t>
      </w:r>
    </w:p>
    <w:p w:rsidR="007B5AB8" w:rsidRPr="00497FD2" w:rsidRDefault="007B5AB8" w:rsidP="00992407">
      <w:pPr>
        <w:rPr>
          <w:sz w:val="20"/>
          <w:szCs w:val="24"/>
          <w:lang w:val="ru-RU"/>
        </w:rPr>
      </w:pP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lastRenderedPageBreak/>
        <w:t>Нападение на людей</w:t>
      </w:r>
    </w:p>
    <w:p w:rsidR="00B61612" w:rsidRPr="00497FD2" w:rsidRDefault="00497FD2" w:rsidP="00992407">
      <w:pPr>
        <w:rPr>
          <w:b/>
          <w:bCs/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Разрушение зданий и строений</w:t>
      </w:r>
      <w:r w:rsidRPr="00497FD2">
        <w:rPr>
          <w:b/>
          <w:bCs/>
          <w:sz w:val="20"/>
          <w:szCs w:val="24"/>
          <w:lang w:val="ru-RU"/>
        </w:rPr>
        <w:t xml:space="preserve"> 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 xml:space="preserve">Общественные беспорядки </w:t>
      </w:r>
      <w:r w:rsidRPr="00497FD2">
        <w:rPr>
          <w:b/>
          <w:bCs/>
          <w:sz w:val="20"/>
          <w:szCs w:val="24"/>
          <w:lang w:val="ru-RU"/>
        </w:rPr>
        <w:t>(с 2022 г.)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 xml:space="preserve">Кибертерроризм </w:t>
      </w:r>
      <w:r w:rsidRPr="00497FD2">
        <w:rPr>
          <w:b/>
          <w:bCs/>
          <w:sz w:val="20"/>
          <w:szCs w:val="24"/>
          <w:lang w:val="ru-RU"/>
        </w:rPr>
        <w:t>(с 2022 г.)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Прорывы дамб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 xml:space="preserve">Применение огнестрельного оружия </w:t>
      </w:r>
      <w:r w:rsidRPr="00497FD2">
        <w:rPr>
          <w:b/>
          <w:bCs/>
          <w:sz w:val="20"/>
          <w:szCs w:val="24"/>
          <w:lang w:val="ru-RU"/>
        </w:rPr>
        <w:t>(с 2022 г.)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Выбросы опасных веществ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 xml:space="preserve">Опиоидная эпидемия </w:t>
      </w:r>
      <w:r w:rsidRPr="00497FD2">
        <w:rPr>
          <w:b/>
          <w:bCs/>
          <w:sz w:val="20"/>
          <w:szCs w:val="24"/>
          <w:lang w:val="ru-RU"/>
        </w:rPr>
        <w:t>(с 2022 г.)</w:t>
      </w:r>
    </w:p>
    <w:p w:rsidR="007B5AB8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Пожары и взрывы в пределах города</w:t>
      </w:r>
    </w:p>
    <w:p w:rsidR="007B5AB8" w:rsidRPr="00497FD2" w:rsidRDefault="00497FD2" w:rsidP="00992407">
      <w:pPr>
        <w:rPr>
          <w:sz w:val="20"/>
          <w:szCs w:val="24"/>
          <w:lang w:val="ru-RU"/>
        </w:rPr>
        <w:sectPr w:rsidR="007B5AB8" w:rsidRPr="00497FD2" w:rsidSect="00350A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97FD2">
        <w:rPr>
          <w:sz w:val="20"/>
          <w:szCs w:val="24"/>
          <w:lang w:val="ru-RU"/>
        </w:rPr>
        <w:t xml:space="preserve">Террористические акты </w:t>
      </w:r>
      <w:r w:rsidRPr="00497FD2">
        <w:rPr>
          <w:b/>
          <w:bCs/>
          <w:sz w:val="20"/>
          <w:szCs w:val="24"/>
          <w:lang w:val="ru-RU"/>
        </w:rPr>
        <w:t>(с 2022 г.)</w:t>
      </w:r>
    </w:p>
    <w:p w:rsidR="00D2442B" w:rsidRPr="00497FD2" w:rsidRDefault="00D2442B" w:rsidP="00992407">
      <w:pPr>
        <w:rPr>
          <w:sz w:val="18"/>
          <w:lang w:val="ru-RU"/>
        </w:rPr>
      </w:pPr>
    </w:p>
    <w:p w:rsidR="00386405" w:rsidRPr="00497FD2" w:rsidRDefault="00497FD2" w:rsidP="00992407">
      <w:pPr>
        <w:rPr>
          <w:sz w:val="20"/>
          <w:szCs w:val="24"/>
          <w:lang w:val="ru-RU"/>
        </w:rPr>
      </w:pPr>
      <w:r w:rsidRPr="00497FD2">
        <w:rPr>
          <w:sz w:val="20"/>
          <w:szCs w:val="24"/>
          <w:lang w:val="ru-RU"/>
        </w:rPr>
        <w:t>Управление по ЧС и его партнеры повторно проведут оценку данных риско</w:t>
      </w:r>
      <w:r w:rsidRPr="00497FD2">
        <w:rPr>
          <w:sz w:val="20"/>
          <w:szCs w:val="24"/>
          <w:lang w:val="ru-RU"/>
        </w:rPr>
        <w:t xml:space="preserve">в, а также, при необходимости, дополнительных рисков в рамках обновления Плана. </w:t>
      </w:r>
    </w:p>
    <w:p w:rsidR="00386405" w:rsidRPr="00497FD2" w:rsidRDefault="00386405" w:rsidP="00992407">
      <w:pPr>
        <w:rPr>
          <w:sz w:val="18"/>
          <w:lang w:val="ru-RU"/>
        </w:rPr>
      </w:pPr>
    </w:p>
    <w:p w:rsidR="00B61612" w:rsidRPr="00497FD2" w:rsidRDefault="00497FD2" w:rsidP="00992407">
      <w:pPr>
        <w:rPr>
          <w:b/>
          <w:bCs/>
          <w:szCs w:val="26"/>
          <w:lang w:val="ru-RU"/>
        </w:rPr>
      </w:pPr>
      <w:r w:rsidRPr="00497FD2">
        <w:rPr>
          <w:b/>
          <w:bCs/>
          <w:szCs w:val="26"/>
          <w:lang w:val="ru-RU"/>
        </w:rPr>
        <w:t>Вопрос:</w:t>
      </w:r>
      <w:r w:rsidRPr="00497FD2">
        <w:rPr>
          <w:bCs/>
          <w:szCs w:val="26"/>
          <w:lang w:val="ru-RU"/>
        </w:rPr>
        <w:t xml:space="preserve"> </w:t>
      </w:r>
      <w:r w:rsidRPr="00497FD2">
        <w:rPr>
          <w:b/>
          <w:bCs/>
          <w:szCs w:val="26"/>
          <w:lang w:val="ru-RU"/>
        </w:rPr>
        <w:t>Как мы повышаем безопасность города?</w:t>
      </w:r>
    </w:p>
    <w:p w:rsidR="00992407" w:rsidRPr="00497FD2" w:rsidRDefault="00992407" w:rsidP="00DC554B">
      <w:pPr>
        <w:rPr>
          <w:sz w:val="18"/>
          <w:lang w:val="ru-RU"/>
        </w:rPr>
      </w:pPr>
    </w:p>
    <w:p w:rsidR="00DC554B" w:rsidRPr="00497FD2" w:rsidRDefault="00497FD2" w:rsidP="00DC554B">
      <w:pPr>
        <w:rPr>
          <w:sz w:val="18"/>
          <w:lang w:val="ru-RU"/>
        </w:rPr>
      </w:pPr>
      <w:r w:rsidRPr="00497FD2">
        <w:rPr>
          <w:b/>
          <w:bCs/>
          <w:szCs w:val="26"/>
          <w:lang w:val="ru-RU"/>
        </w:rPr>
        <w:t>Ответ:</w:t>
      </w:r>
      <w:r w:rsidRPr="00497FD2">
        <w:rPr>
          <w:sz w:val="18"/>
          <w:lang w:val="ru-RU"/>
        </w:rPr>
        <w:t xml:space="preserve"> В Плане по снижению рисков в порядке приоритетности перечислены меры, которые городская администрация может принять, чтобы обезопасить нас. Проекты делятся на следующие типы:</w:t>
      </w:r>
    </w:p>
    <w:p w:rsidR="00DC554B" w:rsidRPr="00497FD2" w:rsidRDefault="00DC554B" w:rsidP="00DC554B">
      <w:pPr>
        <w:rPr>
          <w:sz w:val="18"/>
          <w:lang w:val="ru-RU"/>
        </w:rPr>
      </w:pPr>
    </w:p>
    <w:p w:rsidR="00DC554B" w:rsidRPr="00497FD2" w:rsidRDefault="00497FD2" w:rsidP="00162B9A">
      <w:pPr>
        <w:pStyle w:val="Prrafodelista"/>
        <w:rPr>
          <w:sz w:val="18"/>
          <w:lang w:val="ru-RU"/>
        </w:rPr>
      </w:pPr>
      <w:r w:rsidRPr="00497FD2">
        <w:rPr>
          <w:b/>
          <w:bCs/>
          <w:sz w:val="18"/>
          <w:lang w:val="ru-RU"/>
        </w:rPr>
        <w:t xml:space="preserve">Местные планы и нормативные акты. </w:t>
      </w:r>
      <w:r w:rsidRPr="00497FD2">
        <w:rPr>
          <w:sz w:val="18"/>
          <w:lang w:val="ru-RU"/>
        </w:rPr>
        <w:t xml:space="preserve">Сюда входят планы, постановления, политики и </w:t>
      </w:r>
      <w:r w:rsidRPr="00497FD2">
        <w:rPr>
          <w:sz w:val="18"/>
          <w:lang w:val="ru-RU"/>
        </w:rPr>
        <w:t xml:space="preserve">нормативные акты, которые контролируют постройки и развитие территорий города. </w:t>
      </w:r>
    </w:p>
    <w:p w:rsidR="00DC554B" w:rsidRPr="00497FD2" w:rsidRDefault="00DC554B" w:rsidP="00DC554B">
      <w:pPr>
        <w:pStyle w:val="Prrafodelista"/>
        <w:rPr>
          <w:sz w:val="18"/>
          <w:lang w:val="ru-RU"/>
        </w:rPr>
      </w:pPr>
    </w:p>
    <w:p w:rsidR="00DC554B" w:rsidRPr="00497FD2" w:rsidRDefault="00497FD2" w:rsidP="00162B9A">
      <w:pPr>
        <w:pStyle w:val="Prrafodelista"/>
        <w:rPr>
          <w:sz w:val="18"/>
          <w:lang w:val="ru-RU"/>
        </w:rPr>
      </w:pPr>
      <w:r w:rsidRPr="00497FD2">
        <w:rPr>
          <w:b/>
          <w:bCs/>
          <w:sz w:val="18"/>
          <w:lang w:val="ru-RU"/>
        </w:rPr>
        <w:t xml:space="preserve">Структурные и инфраструктурные проекты. </w:t>
      </w:r>
      <w:r w:rsidRPr="00497FD2">
        <w:rPr>
          <w:sz w:val="18"/>
          <w:lang w:val="ru-RU"/>
        </w:rPr>
        <w:t>К этому типу относятся изменения существующих структур и инфраструктуры города для защиты от рисков, а также их физический перенос из з</w:t>
      </w:r>
      <w:r w:rsidRPr="00497FD2">
        <w:rPr>
          <w:sz w:val="18"/>
          <w:lang w:val="ru-RU"/>
        </w:rPr>
        <w:t>оны риска. Эти меры могут применяться как к частным, так и к общественным единицам, в том числе к критически важным постройкам и элементам инфраструктуры. Кроме того, меры этого типа включают в себя создание рукотворных структур, которые снижают воздействи</w:t>
      </w:r>
      <w:r w:rsidRPr="00497FD2">
        <w:rPr>
          <w:sz w:val="18"/>
          <w:lang w:val="ru-RU"/>
        </w:rPr>
        <w:t>е ЧС.</w:t>
      </w:r>
    </w:p>
    <w:p w:rsidR="00DC554B" w:rsidRPr="00497FD2" w:rsidRDefault="00DC554B" w:rsidP="00DC554B">
      <w:pPr>
        <w:pStyle w:val="Prrafodelista"/>
        <w:rPr>
          <w:sz w:val="18"/>
          <w:lang w:val="ru-RU"/>
        </w:rPr>
      </w:pPr>
    </w:p>
    <w:p w:rsidR="00DC554B" w:rsidRPr="00497FD2" w:rsidRDefault="00497FD2" w:rsidP="00162B9A">
      <w:pPr>
        <w:pStyle w:val="Prrafodelista"/>
        <w:rPr>
          <w:sz w:val="18"/>
          <w:lang w:val="ru-RU"/>
        </w:rPr>
      </w:pPr>
      <w:r w:rsidRPr="00497FD2">
        <w:rPr>
          <w:b/>
          <w:bCs/>
          <w:sz w:val="18"/>
          <w:lang w:val="ru-RU"/>
        </w:rPr>
        <w:t xml:space="preserve">Защита естественных экосистем. </w:t>
      </w:r>
      <w:r w:rsidRPr="00497FD2">
        <w:rPr>
          <w:sz w:val="18"/>
          <w:lang w:val="ru-RU"/>
        </w:rPr>
        <w:t>Данные меры направлены на снижение ущерба и потерь путем сохранения или восстановления функций экосистем.</w:t>
      </w:r>
    </w:p>
    <w:p w:rsidR="00DC554B" w:rsidRPr="00497FD2" w:rsidRDefault="00DC554B" w:rsidP="00DC554B">
      <w:pPr>
        <w:pStyle w:val="Prrafodelista"/>
        <w:rPr>
          <w:sz w:val="18"/>
          <w:lang w:val="ru-RU"/>
        </w:rPr>
      </w:pPr>
    </w:p>
    <w:p w:rsidR="00DC554B" w:rsidRPr="00497FD2" w:rsidRDefault="00497FD2" w:rsidP="00162B9A">
      <w:pPr>
        <w:pStyle w:val="Prrafodelista"/>
        <w:rPr>
          <w:sz w:val="18"/>
          <w:lang w:val="ru-RU"/>
        </w:rPr>
      </w:pPr>
      <w:r w:rsidRPr="00497FD2">
        <w:rPr>
          <w:b/>
          <w:bCs/>
          <w:sz w:val="18"/>
          <w:lang w:val="ru-RU"/>
        </w:rPr>
        <w:t xml:space="preserve">Программы по обучению и повышению осведомленности. </w:t>
      </w:r>
      <w:r w:rsidRPr="00497FD2">
        <w:rPr>
          <w:sz w:val="18"/>
          <w:lang w:val="ru-RU"/>
        </w:rPr>
        <w:t xml:space="preserve">Они позволяют проинформировать жителей города, выборных чиновников и владельцев собственности об опасностях и способах снижения рисков. </w:t>
      </w:r>
    </w:p>
    <w:p w:rsidR="00DC554B" w:rsidRPr="00497FD2" w:rsidRDefault="00DC554B" w:rsidP="00DC554B">
      <w:pPr>
        <w:pStyle w:val="Prrafodelista"/>
        <w:rPr>
          <w:sz w:val="18"/>
          <w:lang w:val="ru-RU"/>
        </w:rPr>
      </w:pPr>
    </w:p>
    <w:p w:rsidR="00992407" w:rsidRPr="00497FD2" w:rsidRDefault="00992407" w:rsidP="00DC554B">
      <w:pPr>
        <w:rPr>
          <w:sz w:val="18"/>
          <w:lang w:val="ru-RU"/>
        </w:rPr>
      </w:pPr>
    </w:p>
    <w:p w:rsidR="0092369F" w:rsidRPr="00497FD2" w:rsidRDefault="0092369F" w:rsidP="00DC554B">
      <w:pPr>
        <w:rPr>
          <w:sz w:val="18"/>
          <w:lang w:val="ru-RU"/>
        </w:rPr>
      </w:pPr>
    </w:p>
    <w:p w:rsidR="00DC554B" w:rsidRPr="00497FD2" w:rsidRDefault="00497FD2" w:rsidP="00DC554B">
      <w:pPr>
        <w:rPr>
          <w:b/>
          <w:bCs/>
          <w:szCs w:val="26"/>
        </w:rPr>
      </w:pPr>
      <w:r w:rsidRPr="00497FD2">
        <w:rPr>
          <w:b/>
          <w:bCs/>
          <w:szCs w:val="26"/>
          <w:lang w:val="ru-RU"/>
        </w:rPr>
        <w:t>Вопрос:</w:t>
      </w:r>
      <w:r w:rsidRPr="00497FD2">
        <w:rPr>
          <w:bCs/>
          <w:szCs w:val="26"/>
          <w:lang w:val="ru-RU"/>
        </w:rPr>
        <w:t xml:space="preserve"> </w:t>
      </w:r>
      <w:r w:rsidRPr="00497FD2">
        <w:rPr>
          <w:b/>
          <w:bCs/>
          <w:szCs w:val="26"/>
          <w:lang w:val="ru-RU"/>
        </w:rPr>
        <w:t>Где найти подробную информацию о Плане по снижению рисков? Как принять участие в работе над его следующей ре</w:t>
      </w:r>
      <w:r w:rsidRPr="00497FD2">
        <w:rPr>
          <w:b/>
          <w:bCs/>
          <w:szCs w:val="26"/>
          <w:lang w:val="ru-RU"/>
        </w:rPr>
        <w:t>дакцией?</w:t>
      </w:r>
    </w:p>
    <w:p w:rsidR="00DC554B" w:rsidRPr="00497FD2" w:rsidRDefault="00DC554B" w:rsidP="00DC554B">
      <w:pPr>
        <w:rPr>
          <w:b/>
          <w:bCs/>
          <w:szCs w:val="28"/>
        </w:rPr>
      </w:pPr>
    </w:p>
    <w:p w:rsidR="00887DCC" w:rsidRPr="00497FD2" w:rsidRDefault="00497FD2" w:rsidP="00DC554B">
      <w:pPr>
        <w:rPr>
          <w:sz w:val="20"/>
          <w:szCs w:val="24"/>
        </w:rPr>
      </w:pPr>
      <w:r w:rsidRPr="00497FD2">
        <w:rPr>
          <w:b/>
          <w:bCs/>
          <w:szCs w:val="26"/>
          <w:lang w:val="ru-RU"/>
        </w:rPr>
        <w:t>Ответ:</w:t>
      </w:r>
      <w:r w:rsidRPr="00497FD2">
        <w:rPr>
          <w:sz w:val="18"/>
          <w:lang w:val="ru-RU"/>
        </w:rPr>
        <w:t xml:space="preserve"> </w:t>
      </w:r>
      <w:r w:rsidR="0073497D" w:rsidRPr="00497FD2">
        <w:rPr>
          <w:sz w:val="20"/>
          <w:szCs w:val="24"/>
          <w:lang w:val="ru-RU"/>
        </w:rPr>
        <w:t xml:space="preserve"> Дополнительную информацию об обновлении Плана по снижению рисков можно найти на сайте Управления по ЧС Филадельфии по ссылке: </w:t>
      </w:r>
      <w:hyperlink r:id="rId8" w:history="1">
        <w:r w:rsidR="0073497D" w:rsidRPr="00497FD2">
          <w:rPr>
            <w:rStyle w:val="Hipervnculo"/>
            <w:sz w:val="20"/>
            <w:szCs w:val="24"/>
            <w:lang w:val="ru-RU"/>
          </w:rPr>
          <w:t>www.phila.gov/ready/programs/hazard-mitigation-plan/</w:t>
        </w:r>
      </w:hyperlink>
      <w:r w:rsidR="0073497D" w:rsidRPr="00497FD2">
        <w:rPr>
          <w:sz w:val="20"/>
          <w:szCs w:val="24"/>
          <w:lang w:val="ru-RU"/>
        </w:rPr>
        <w:t xml:space="preserve">. </w:t>
      </w:r>
    </w:p>
    <w:p w:rsidR="000F4E78" w:rsidRPr="00497FD2" w:rsidRDefault="000F4E78" w:rsidP="00DC554B">
      <w:pPr>
        <w:rPr>
          <w:sz w:val="20"/>
          <w:szCs w:val="24"/>
        </w:rPr>
      </w:pPr>
    </w:p>
    <w:p w:rsidR="00157D10" w:rsidRPr="00497FD2" w:rsidRDefault="00497FD2">
      <w:pPr>
        <w:rPr>
          <w:b/>
          <w:bCs/>
          <w:sz w:val="20"/>
          <w:szCs w:val="24"/>
          <w:u w:val="single"/>
          <w:lang w:val="ru-RU"/>
        </w:rPr>
      </w:pPr>
      <w:r w:rsidRPr="00497FD2">
        <w:rPr>
          <w:b/>
          <w:bCs/>
          <w:sz w:val="20"/>
          <w:szCs w:val="24"/>
          <w:lang w:val="ru-RU"/>
        </w:rPr>
        <w:t>Остались вопросы или комментарии?</w:t>
      </w:r>
      <w:r w:rsidRPr="00497FD2">
        <w:rPr>
          <w:bCs/>
          <w:sz w:val="20"/>
          <w:szCs w:val="24"/>
          <w:lang w:val="ru-RU"/>
        </w:rPr>
        <w:t xml:space="preserve"> Не стесняйтесь обратиться в Управление по ЧС по эл. почте </w:t>
      </w:r>
      <w:hyperlink r:id="rId9" w:history="1">
        <w:r w:rsidR="008E071C" w:rsidRPr="00497FD2">
          <w:rPr>
            <w:rStyle w:val="Hipervnculo"/>
            <w:sz w:val="20"/>
            <w:szCs w:val="24"/>
            <w:lang w:val="ru-RU"/>
          </w:rPr>
          <w:t>oem@phila.gov</w:t>
        </w:r>
      </w:hyperlink>
      <w:r w:rsidR="008E071C" w:rsidRPr="00497FD2">
        <w:rPr>
          <w:sz w:val="20"/>
          <w:szCs w:val="24"/>
          <w:lang w:val="ru-RU"/>
        </w:rPr>
        <w:t xml:space="preserve">. </w:t>
      </w:r>
    </w:p>
    <w:sectPr w:rsidR="00157D10" w:rsidRPr="00497FD2" w:rsidSect="00350A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38C3"/>
    <w:multiLevelType w:val="hybridMultilevel"/>
    <w:tmpl w:val="B49081A8"/>
    <w:lvl w:ilvl="0" w:tplc="D59C7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4A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A0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AD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21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6AC"/>
    <w:multiLevelType w:val="hybridMultilevel"/>
    <w:tmpl w:val="57E08D8E"/>
    <w:lvl w:ilvl="0" w:tplc="6772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87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2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81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6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6E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E8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0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AC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E2C"/>
    <w:multiLevelType w:val="hybridMultilevel"/>
    <w:tmpl w:val="305C823E"/>
    <w:lvl w:ilvl="0" w:tplc="BCB04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CC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62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2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C8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6B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06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63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E0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203"/>
    <w:multiLevelType w:val="hybridMultilevel"/>
    <w:tmpl w:val="4C724996"/>
    <w:lvl w:ilvl="0" w:tplc="857ED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A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0B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D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054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0A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E4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0A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4E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4B"/>
    <w:rsid w:val="000B559F"/>
    <w:rsid w:val="000F4E78"/>
    <w:rsid w:val="0011614F"/>
    <w:rsid w:val="00157D10"/>
    <w:rsid w:val="00162B9A"/>
    <w:rsid w:val="00223450"/>
    <w:rsid w:val="002735BD"/>
    <w:rsid w:val="002A0FB7"/>
    <w:rsid w:val="003278A5"/>
    <w:rsid w:val="00350AD0"/>
    <w:rsid w:val="00386405"/>
    <w:rsid w:val="00404AB6"/>
    <w:rsid w:val="004869AB"/>
    <w:rsid w:val="00497FD2"/>
    <w:rsid w:val="004A0596"/>
    <w:rsid w:val="004B1ADF"/>
    <w:rsid w:val="005A3E35"/>
    <w:rsid w:val="0061764A"/>
    <w:rsid w:val="00691E3A"/>
    <w:rsid w:val="006A65B0"/>
    <w:rsid w:val="006D36E6"/>
    <w:rsid w:val="00723811"/>
    <w:rsid w:val="0073497D"/>
    <w:rsid w:val="00737310"/>
    <w:rsid w:val="007B5AB8"/>
    <w:rsid w:val="007F114C"/>
    <w:rsid w:val="00887DCC"/>
    <w:rsid w:val="008A6852"/>
    <w:rsid w:val="008B593E"/>
    <w:rsid w:val="008E071C"/>
    <w:rsid w:val="0092369F"/>
    <w:rsid w:val="00981707"/>
    <w:rsid w:val="00992407"/>
    <w:rsid w:val="00A723FC"/>
    <w:rsid w:val="00B61612"/>
    <w:rsid w:val="00C50F95"/>
    <w:rsid w:val="00D2442B"/>
    <w:rsid w:val="00D70397"/>
    <w:rsid w:val="00D813BB"/>
    <w:rsid w:val="00DC554B"/>
    <w:rsid w:val="00DF287C"/>
    <w:rsid w:val="00E46145"/>
    <w:rsid w:val="00FC265A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865B"/>
  <w15:chartTrackingRefBased/>
  <w15:docId w15:val="{F41241B7-30CE-45FD-A176-C1FD2145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4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5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554B"/>
    <w:pPr>
      <w:ind w:left="72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554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9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.gov/ready/programs/hazard-mitigation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ila.gov/departments/oem/programs/hazard-mitigation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em@phi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Giardina</dc:creator>
  <cp:lastModifiedBy>User</cp:lastModifiedBy>
  <cp:revision>5</cp:revision>
  <cp:lastPrinted>2022-05-02T16:55:00Z</cp:lastPrinted>
  <dcterms:created xsi:type="dcterms:W3CDTF">2024-04-25T17:03:00Z</dcterms:created>
  <dcterms:modified xsi:type="dcterms:W3CDTF">2024-05-13T13:50:00Z</dcterms:modified>
</cp:coreProperties>
</file>