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70003" w14:textId="2E726893" w:rsidR="00386405" w:rsidRDefault="00386405" w:rsidP="00DC554B">
      <w:pPr>
        <w:bidi/>
        <w:rPr>
          <w:b/>
          <w:bCs/>
          <w:sz w:val="36"/>
          <w:szCs w:val="36"/>
          <w:rtl/>
        </w:rPr>
      </w:pPr>
      <w:r>
        <w:rPr>
          <w:rFonts w:hint="cs"/>
          <w:b/>
          <w:noProof/>
          <w:rtl/>
        </w:rPr>
        <w:drawing>
          <wp:anchor distT="0" distB="0" distL="114300" distR="114300" simplePos="0" relativeHeight="251661312" behindDoc="0" locked="0" layoutInCell="1" allowOverlap="1" wp14:anchorId="5AC02E65" wp14:editId="567EAAEC">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14:paraId="283D8304" w14:textId="77777777" w:rsidR="00675F55" w:rsidRDefault="00675F55" w:rsidP="00DC554B">
      <w:pPr>
        <w:bidi/>
        <w:rPr>
          <w:b/>
          <w:sz w:val="36"/>
          <w:rtl/>
        </w:rPr>
      </w:pPr>
    </w:p>
    <w:p w14:paraId="2CEA529A" w14:textId="77777777" w:rsidR="00675F55" w:rsidRDefault="00675F55" w:rsidP="00675F55">
      <w:pPr>
        <w:bidi/>
        <w:rPr>
          <w:b/>
          <w:sz w:val="36"/>
          <w:rtl/>
        </w:rPr>
      </w:pPr>
    </w:p>
    <w:p w14:paraId="3960F46E" w14:textId="77777777" w:rsidR="00675F55" w:rsidRDefault="00675F55" w:rsidP="00675F55">
      <w:pPr>
        <w:bidi/>
        <w:rPr>
          <w:b/>
          <w:sz w:val="36"/>
          <w:rtl/>
        </w:rPr>
      </w:pPr>
    </w:p>
    <w:p w14:paraId="7BB52AA7" w14:textId="77777777" w:rsidR="00675F55" w:rsidRDefault="00675F55" w:rsidP="00675F55">
      <w:pPr>
        <w:bidi/>
        <w:rPr>
          <w:b/>
          <w:sz w:val="36"/>
          <w:rtl/>
        </w:rPr>
      </w:pPr>
    </w:p>
    <w:p w14:paraId="518A628F" w14:textId="77777777" w:rsidR="00675F55" w:rsidRDefault="00675F55" w:rsidP="00675F55">
      <w:pPr>
        <w:bidi/>
        <w:rPr>
          <w:b/>
          <w:sz w:val="36"/>
          <w:rtl/>
        </w:rPr>
      </w:pPr>
    </w:p>
    <w:p w14:paraId="5A0A60FC" w14:textId="77777777" w:rsidR="00675F55" w:rsidRDefault="00675F55" w:rsidP="00675F55">
      <w:pPr>
        <w:bidi/>
        <w:rPr>
          <w:b/>
          <w:sz w:val="36"/>
          <w:rtl/>
        </w:rPr>
      </w:pPr>
    </w:p>
    <w:p w14:paraId="5A2D06CA" w14:textId="44F3DA4C" w:rsidR="00DC554B" w:rsidRPr="005A3E35" w:rsidRDefault="003278A5" w:rsidP="00675F55">
      <w:pPr>
        <w:bidi/>
        <w:rPr>
          <w:b/>
          <w:bCs/>
          <w:sz w:val="42"/>
          <w:szCs w:val="42"/>
          <w:rtl/>
        </w:rPr>
      </w:pPr>
      <w:r>
        <w:rPr>
          <w:rFonts w:hint="cs"/>
          <w:b/>
          <w:sz w:val="36"/>
          <w:rtl/>
        </w:rPr>
        <w:t>الأسئلة الشائعة حول خطة تخفيف جميع المخاطر في فيلادلفيا</w:t>
      </w:r>
    </w:p>
    <w:p w14:paraId="61B06482" w14:textId="77777777" w:rsidR="00386405" w:rsidRDefault="00386405" w:rsidP="00DC554B">
      <w:pPr>
        <w:rPr>
          <w:b/>
          <w:bCs/>
          <w:sz w:val="26"/>
          <w:szCs w:val="26"/>
        </w:rPr>
      </w:pPr>
    </w:p>
    <w:p w14:paraId="501FD069" w14:textId="77777777" w:rsidR="00386405" w:rsidRDefault="00386405" w:rsidP="00DC554B">
      <w:pPr>
        <w:rPr>
          <w:b/>
          <w:bCs/>
          <w:sz w:val="26"/>
          <w:szCs w:val="26"/>
        </w:rPr>
      </w:pPr>
    </w:p>
    <w:p w14:paraId="6D69AFB7" w14:textId="470CC64A" w:rsidR="00DC554B" w:rsidRPr="00992407" w:rsidRDefault="00992407" w:rsidP="00DC554B">
      <w:pPr>
        <w:bidi/>
        <w:rPr>
          <w:b/>
          <w:bCs/>
          <w:sz w:val="26"/>
          <w:szCs w:val="26"/>
          <w:rtl/>
        </w:rPr>
      </w:pPr>
      <w:r>
        <w:rPr>
          <w:rFonts w:hint="cs"/>
          <w:b/>
          <w:sz w:val="26"/>
          <w:rtl/>
        </w:rPr>
        <w:t>السؤال: ما معنى خطة تخفيف المخاطر؟</w:t>
      </w:r>
    </w:p>
    <w:p w14:paraId="2348FC50" w14:textId="22EE56F5" w:rsidR="00DC554B" w:rsidRDefault="00DC554B" w:rsidP="00DC554B">
      <w:pPr>
        <w:rPr>
          <w:b/>
          <w:bCs/>
          <w:u w:val="single"/>
        </w:rPr>
      </w:pPr>
    </w:p>
    <w:p w14:paraId="5370454D" w14:textId="3084A1AC" w:rsidR="00723811" w:rsidRPr="00FC2BF7" w:rsidRDefault="00992407" w:rsidP="00992407">
      <w:pPr>
        <w:bidi/>
        <w:rPr>
          <w:sz w:val="24"/>
          <w:szCs w:val="24"/>
          <w:rtl/>
        </w:rPr>
      </w:pPr>
      <w:r>
        <w:rPr>
          <w:rFonts w:hint="cs"/>
          <w:b/>
          <w:sz w:val="26"/>
          <w:rtl/>
        </w:rPr>
        <w:t>الإجابة:</w:t>
      </w:r>
      <w:r>
        <w:rPr>
          <w:rFonts w:hint="cs"/>
          <w:sz w:val="24"/>
          <w:u w:val="single"/>
          <w:rtl/>
        </w:rPr>
        <w:t xml:space="preserve"> تخفيف المخاطر</w:t>
      </w:r>
      <w:r>
        <w:rPr>
          <w:rFonts w:hint="cs"/>
          <w:sz w:val="24"/>
          <w:rtl/>
        </w:rPr>
        <w:t xml:space="preserve"> هو العمل على تقليل أو القضاء على مخاطر الكوارث الطبيعية أو التي يسببها الإنسان أو التكنولوجيا. تصف </w:t>
      </w:r>
      <w:r>
        <w:rPr>
          <w:rFonts w:hint="cs"/>
          <w:sz w:val="24"/>
          <w:u w:val="single"/>
          <w:rtl/>
        </w:rPr>
        <w:t>خطة تخفيف المخاطر (</w:t>
      </w:r>
      <w:r>
        <w:rPr>
          <w:sz w:val="24"/>
          <w:u w:val="single"/>
        </w:rPr>
        <w:t>HMP</w:t>
      </w:r>
      <w:r>
        <w:rPr>
          <w:rFonts w:hint="cs"/>
          <w:sz w:val="24"/>
          <w:u w:val="single"/>
          <w:rtl/>
        </w:rPr>
        <w:t>)</w:t>
      </w:r>
      <w:r>
        <w:rPr>
          <w:rFonts w:hint="cs"/>
          <w:sz w:val="24"/>
          <w:rtl/>
        </w:rPr>
        <w:t xml:space="preserve"> المخاطر الطبيعية والتي يسببها الإنسان، مثل الفيضانات والعواصف الشتوية، التي تؤثر على فيلادلفيا. تشمل الخطة أيضًا قائمة بمشاريع المدينة ذات الأولوية والتي يمكن أن تساعد في تقليل الأضرار الناجمة عن الكوارث قبل حدوثها.</w:t>
      </w:r>
      <w:r>
        <w:rPr>
          <w:rFonts w:hint="cs"/>
          <w:color w:val="000000" w:themeColor="text1"/>
          <w:sz w:val="24"/>
          <w:rtl/>
        </w:rPr>
        <w:t xml:space="preserve"> اعتمد مجلس المدينة خطة تخفيف المخاطر الحالية للمدينة في مايو 2022. سيبدأ مكتب إدارة الطوارئ (</w:t>
      </w:r>
      <w:r>
        <w:rPr>
          <w:color w:val="000000" w:themeColor="text1"/>
          <w:sz w:val="24"/>
        </w:rPr>
        <w:t>OEM</w:t>
      </w:r>
      <w:r>
        <w:rPr>
          <w:rFonts w:hint="cs"/>
          <w:color w:val="000000" w:themeColor="text1"/>
          <w:sz w:val="24"/>
          <w:rtl/>
        </w:rPr>
        <w:t>) بالتعاون مع شركاء المدينة والمجتمع التحديث الشامل التالي لهذه الخطة في عام 2024.</w:t>
      </w:r>
    </w:p>
    <w:p w14:paraId="18729E86" w14:textId="00383DF8" w:rsidR="00981707" w:rsidRDefault="00981707" w:rsidP="00992407">
      <w:pPr>
        <w:rPr>
          <w:b/>
          <w:bCs/>
          <w:sz w:val="26"/>
          <w:szCs w:val="26"/>
        </w:rPr>
      </w:pPr>
    </w:p>
    <w:p w14:paraId="08AE0AEB" w14:textId="460424FC" w:rsidR="00981707" w:rsidRDefault="00981707" w:rsidP="00992407">
      <w:pPr>
        <w:bidi/>
        <w:rPr>
          <w:b/>
          <w:bCs/>
          <w:sz w:val="26"/>
          <w:szCs w:val="26"/>
          <w:rtl/>
        </w:rPr>
      </w:pPr>
      <w:r>
        <w:rPr>
          <w:rFonts w:hint="cs"/>
          <w:b/>
          <w:sz w:val="26"/>
          <w:rtl/>
        </w:rPr>
        <w:t xml:space="preserve"> السؤال: ما أهمية التخطيط لتخفيف المخاطر؟</w:t>
      </w:r>
    </w:p>
    <w:p w14:paraId="280BC2D9" w14:textId="5808F467" w:rsidR="00981707" w:rsidRDefault="00981707" w:rsidP="00992407"/>
    <w:p w14:paraId="0EEC4B22" w14:textId="2CF03EBA" w:rsidR="00981707" w:rsidRPr="00691E3A" w:rsidRDefault="00981707" w:rsidP="00992407">
      <w:pPr>
        <w:bidi/>
        <w:rPr>
          <w:b/>
          <w:bCs/>
          <w:sz w:val="24"/>
          <w:szCs w:val="24"/>
          <w:rtl/>
        </w:rPr>
      </w:pPr>
      <w:r>
        <w:rPr>
          <w:rFonts w:hint="cs"/>
          <w:b/>
          <w:sz w:val="24"/>
          <w:rtl/>
        </w:rPr>
        <w:t>الإجابة:</w:t>
      </w:r>
      <w:r>
        <w:rPr>
          <w:rFonts w:hint="cs"/>
          <w:sz w:val="24"/>
          <w:rtl/>
        </w:rPr>
        <w:t xml:space="preserve"> يكون التخفيف من المخاطر فعالًا عندما يتم تنفيذه كجزء من خطة منسقة. تشمل فوائد التخطيط لتخفيف المخاطر ما يلي:</w:t>
      </w:r>
      <w:r>
        <w:rPr>
          <w:rFonts w:hint="cs"/>
          <w:b/>
          <w:sz w:val="24"/>
          <w:rtl/>
        </w:rPr>
        <w:t xml:space="preserve"> </w:t>
      </w:r>
    </w:p>
    <w:p w14:paraId="2C21698E" w14:textId="704DFE0C" w:rsidR="00691E3A" w:rsidRPr="00691E3A" w:rsidRDefault="00691E3A" w:rsidP="00992407">
      <w:pPr>
        <w:rPr>
          <w:b/>
          <w:bCs/>
          <w:sz w:val="24"/>
          <w:szCs w:val="24"/>
        </w:rPr>
      </w:pPr>
    </w:p>
    <w:p w14:paraId="32D33191" w14:textId="031CD9B0" w:rsidR="00691E3A" w:rsidRPr="00691E3A" w:rsidRDefault="00B61612" w:rsidP="00691E3A">
      <w:pPr>
        <w:bidi/>
        <w:ind w:left="720"/>
        <w:rPr>
          <w:sz w:val="24"/>
          <w:szCs w:val="24"/>
          <w:rtl/>
        </w:rPr>
      </w:pPr>
      <w:r>
        <w:rPr>
          <w:rFonts w:hint="cs"/>
          <w:b/>
          <w:sz w:val="24"/>
          <w:rtl/>
        </w:rPr>
        <w:t xml:space="preserve"> إنقاذ الأرواح وتقليل الأضرار التي تلحق بالممتلكات:</w:t>
      </w:r>
      <w:r>
        <w:rPr>
          <w:rFonts w:hint="cs"/>
          <w:sz w:val="24"/>
          <w:rtl/>
        </w:rPr>
        <w:t xml:space="preserve"> من خلال إيجاد سبل للحد من المخاطر قبل وقوع الكوارث، فإننا ننقذ الأرواح ونمنع الأضرار المكلفة التي تلحق بالممتلكات الخاصة والعامة في نهاية المطاف.</w:t>
      </w:r>
    </w:p>
    <w:p w14:paraId="57280E9B" w14:textId="34A0038E" w:rsidR="00691E3A" w:rsidRDefault="00691E3A" w:rsidP="00992407">
      <w:pPr>
        <w:bidi/>
        <w:rPr>
          <w:b/>
          <w:bCs/>
          <w:sz w:val="24"/>
          <w:szCs w:val="24"/>
          <w:rtl/>
        </w:rPr>
      </w:pPr>
      <w:r>
        <w:rPr>
          <w:rFonts w:hint="cs"/>
          <w:b/>
          <w:sz w:val="24"/>
          <w:rtl/>
        </w:rPr>
        <w:tab/>
      </w:r>
    </w:p>
    <w:p w14:paraId="79B53F9D" w14:textId="6B9F170B" w:rsidR="00691E3A" w:rsidRDefault="00691E3A" w:rsidP="00D813BB">
      <w:pPr>
        <w:bidi/>
        <w:ind w:left="720"/>
        <w:rPr>
          <w:sz w:val="24"/>
          <w:szCs w:val="24"/>
          <w:rtl/>
        </w:rPr>
      </w:pPr>
      <w:r>
        <w:rPr>
          <w:rFonts w:hint="cs"/>
          <w:b/>
          <w:sz w:val="24"/>
          <w:rtl/>
        </w:rPr>
        <w:t>توفير التكاليف:</w:t>
      </w:r>
      <w:r>
        <w:rPr>
          <w:rFonts w:hint="cs"/>
          <w:sz w:val="24"/>
          <w:rtl/>
        </w:rPr>
        <w:t xml:space="preserve"> وفقًا لدراسة أجراها المعهد الوطني لعلوم البناء عام 2019، مقابل كل دولار يتم إنفاقه على جهود تخفيف المخاطر، يتم توفير 6 دولارات كانت ستنفق على جهود الاستجابة والتعافي المستقبلية.</w:t>
      </w:r>
    </w:p>
    <w:p w14:paraId="235AC995" w14:textId="6CF41CA3" w:rsidR="00D813BB" w:rsidRDefault="00D813BB" w:rsidP="00D813BB">
      <w:pPr>
        <w:ind w:left="720"/>
        <w:rPr>
          <w:sz w:val="24"/>
          <w:szCs w:val="24"/>
        </w:rPr>
      </w:pPr>
    </w:p>
    <w:p w14:paraId="111224A4" w14:textId="72E1C7CA" w:rsidR="00D813BB" w:rsidRDefault="00D813BB" w:rsidP="00D813BB">
      <w:pPr>
        <w:bidi/>
        <w:ind w:left="720"/>
        <w:rPr>
          <w:sz w:val="24"/>
          <w:szCs w:val="24"/>
          <w:rtl/>
        </w:rPr>
      </w:pPr>
      <w:r>
        <w:rPr>
          <w:rFonts w:hint="cs"/>
          <w:b/>
          <w:sz w:val="24"/>
          <w:rtl/>
        </w:rPr>
        <w:t>فرص التمويل</w:t>
      </w:r>
      <w:r>
        <w:rPr>
          <w:rFonts w:hint="cs"/>
          <w:sz w:val="24"/>
          <w:rtl/>
        </w:rPr>
        <w:t>: تطلب الوكالة الفيدرالية لإدارة الطوارئ (</w:t>
      </w:r>
      <w:r>
        <w:rPr>
          <w:sz w:val="24"/>
        </w:rPr>
        <w:t>FEMA</w:t>
      </w:r>
      <w:r>
        <w:rPr>
          <w:rFonts w:hint="cs"/>
          <w:sz w:val="24"/>
          <w:rtl/>
        </w:rPr>
        <w:t>) خطة تخفيف المخاطر (</w:t>
      </w:r>
      <w:r>
        <w:rPr>
          <w:sz w:val="24"/>
        </w:rPr>
        <w:t>HMP</w:t>
      </w:r>
      <w:r>
        <w:rPr>
          <w:rFonts w:hint="cs"/>
          <w:sz w:val="24"/>
          <w:rtl/>
        </w:rPr>
        <w:t>) المحدثة كل 5 سنوات لكي تظل مدينة فيلادلفيا مؤهلة للحصول على أموال منح التخفيف من الوكالة، مثل بناء البنية التحتية والمجتمعات المرنة (</w:t>
      </w:r>
      <w:r w:rsidR="001B5FE3">
        <w:rPr>
          <w:sz w:val="24"/>
        </w:rPr>
        <w:t>BRIC</w:t>
      </w:r>
      <w:r w:rsidR="001B5FE3">
        <w:rPr>
          <w:rFonts w:hint="cs"/>
          <w:sz w:val="24"/>
          <w:rtl/>
        </w:rPr>
        <w:t>)</w:t>
      </w:r>
      <w:r>
        <w:rPr>
          <w:rFonts w:hint="cs"/>
          <w:sz w:val="24"/>
          <w:rtl/>
        </w:rPr>
        <w:t>، والمساعدة في التخفيف من مخاطر الفيضانات (</w:t>
      </w:r>
      <w:r>
        <w:rPr>
          <w:sz w:val="24"/>
        </w:rPr>
        <w:t>FMA)</w:t>
      </w:r>
      <w:r>
        <w:rPr>
          <w:rFonts w:hint="cs"/>
          <w:sz w:val="24"/>
          <w:rtl/>
        </w:rPr>
        <w:t>، وبرنامج منحة التخفيف من المخاطر (</w:t>
      </w:r>
      <w:r>
        <w:rPr>
          <w:sz w:val="24"/>
        </w:rPr>
        <w:t>HMGP</w:t>
      </w:r>
      <w:r>
        <w:rPr>
          <w:rFonts w:hint="cs"/>
          <w:sz w:val="24"/>
          <w:rtl/>
        </w:rPr>
        <w:t>). وقد تم تخصيص تمويل إضافي لهذه المنح من خلال قانون البنية التحتية الصادر عن الحزبين.</w:t>
      </w:r>
    </w:p>
    <w:p w14:paraId="1D42BDA0" w14:textId="24717194" w:rsidR="00B61612" w:rsidRDefault="00B61612" w:rsidP="00D813BB">
      <w:pPr>
        <w:ind w:left="720"/>
        <w:rPr>
          <w:sz w:val="24"/>
          <w:szCs w:val="24"/>
        </w:rPr>
      </w:pPr>
    </w:p>
    <w:p w14:paraId="042D3342" w14:textId="21AF4FA5" w:rsidR="00B61612" w:rsidRPr="00B61612" w:rsidRDefault="00B61612" w:rsidP="00D813BB">
      <w:pPr>
        <w:bidi/>
        <w:ind w:left="720"/>
        <w:rPr>
          <w:sz w:val="24"/>
          <w:szCs w:val="24"/>
          <w:rtl/>
        </w:rPr>
      </w:pPr>
      <w:r>
        <w:rPr>
          <w:rFonts w:hint="cs"/>
          <w:b/>
          <w:sz w:val="24"/>
          <w:rtl/>
        </w:rPr>
        <w:t xml:space="preserve"> رفع مستوى الوعي حول المخاطر والاستعدادية لها:</w:t>
      </w:r>
      <w:r>
        <w:rPr>
          <w:rFonts w:hint="cs"/>
          <w:sz w:val="24"/>
          <w:rtl/>
        </w:rPr>
        <w:t xml:space="preserve"> يتضمن وضع خطة تخفيف المخاطر (</w:t>
      </w:r>
      <w:r>
        <w:rPr>
          <w:sz w:val="24"/>
        </w:rPr>
        <w:t>HMP</w:t>
      </w:r>
      <w:r>
        <w:rPr>
          <w:rFonts w:hint="cs"/>
          <w:sz w:val="24"/>
          <w:rtl/>
        </w:rPr>
        <w:t>) تواصلًا مكثفًا مع الشركاء بالمدينة والعامة، وزيادة الوعي حول أشد المخاطر التي تهدد فيلادلفيا وتعزيز أنشطة التأهب والحد من المخاطر.</w:t>
      </w:r>
    </w:p>
    <w:p w14:paraId="49773BBB" w14:textId="77777777" w:rsidR="00350AD0" w:rsidRDefault="00350AD0" w:rsidP="00350AD0">
      <w:pPr>
        <w:rPr>
          <w:b/>
          <w:bCs/>
          <w:sz w:val="24"/>
          <w:szCs w:val="24"/>
        </w:rPr>
      </w:pPr>
    </w:p>
    <w:p w14:paraId="2F1EF510" w14:textId="6FDADBFC" w:rsidR="00B61612" w:rsidRDefault="00B61612" w:rsidP="00350AD0">
      <w:pPr>
        <w:bidi/>
        <w:ind w:left="720"/>
        <w:rPr>
          <w:sz w:val="24"/>
          <w:szCs w:val="24"/>
          <w:rtl/>
        </w:rPr>
      </w:pPr>
      <w:r>
        <w:rPr>
          <w:rFonts w:hint="cs"/>
          <w:b/>
          <w:sz w:val="24"/>
          <w:rtl/>
        </w:rPr>
        <w:t>عقد الشراكات:</w:t>
      </w:r>
      <w:r>
        <w:rPr>
          <w:rFonts w:hint="cs"/>
          <w:sz w:val="24"/>
          <w:rtl/>
        </w:rPr>
        <w:t xml:space="preserve"> شارك أكثر من 80 وكالة ومنظمة، تمثل وكالات المدينة والولاية والوكالات الفيدرالية، وشركاء القطاع الخاص والمنظمات المجتمعية في تحديث 2022. </w:t>
      </w:r>
      <w:proofErr w:type="spellStart"/>
      <w:r>
        <w:rPr>
          <w:rFonts w:hint="cs"/>
          <w:sz w:val="24"/>
          <w:rtl/>
        </w:rPr>
        <w:t>تعمل</w:t>
      </w:r>
      <w:r>
        <w:rPr>
          <w:rFonts w:hint="cs"/>
          <w:sz w:val="23"/>
          <w:rtl/>
        </w:rPr>
        <w:t>عملية</w:t>
      </w:r>
      <w:proofErr w:type="spellEnd"/>
      <w:r>
        <w:rPr>
          <w:rFonts w:hint="cs"/>
          <w:sz w:val="23"/>
          <w:rtl/>
        </w:rPr>
        <w:t xml:space="preserve"> التخطيط على بناء شراكات تؤدي إلى التنفيذ الناجح لمشاريع الحد من المخاطر.</w:t>
      </w:r>
    </w:p>
    <w:p w14:paraId="607C1EA0" w14:textId="6330A1C4" w:rsidR="00350AD0" w:rsidRDefault="00350AD0" w:rsidP="00350AD0">
      <w:pPr>
        <w:ind w:left="4320"/>
        <w:rPr>
          <w:sz w:val="24"/>
          <w:szCs w:val="24"/>
        </w:rPr>
      </w:pPr>
    </w:p>
    <w:p w14:paraId="341F2EAC" w14:textId="262495E2" w:rsidR="00350AD0" w:rsidRDefault="00350AD0" w:rsidP="00386405">
      <w:pPr>
        <w:rPr>
          <w:sz w:val="24"/>
          <w:szCs w:val="24"/>
        </w:rPr>
      </w:pPr>
    </w:p>
    <w:p w14:paraId="096839FA" w14:textId="6D7D42F3" w:rsidR="00350AD0" w:rsidRDefault="00350AD0" w:rsidP="002E4596">
      <w:pPr>
        <w:bidi/>
        <w:rPr>
          <w:b/>
          <w:bCs/>
          <w:sz w:val="26"/>
          <w:szCs w:val="26"/>
          <w:rtl/>
        </w:rPr>
      </w:pPr>
      <w:r>
        <w:rPr>
          <w:rFonts w:hint="cs"/>
          <w:b/>
          <w:sz w:val="26"/>
          <w:rtl/>
        </w:rPr>
        <w:t>السؤال: ما أولويات تحديث الخطة القادمة؟</w:t>
      </w:r>
    </w:p>
    <w:p w14:paraId="7D46DE04" w14:textId="77777777" w:rsidR="002E4596" w:rsidRDefault="002E4596" w:rsidP="002E4596">
      <w:pPr>
        <w:bidi/>
        <w:rPr>
          <w:b/>
          <w:sz w:val="24"/>
          <w:rtl/>
        </w:rPr>
      </w:pPr>
    </w:p>
    <w:p w14:paraId="74A37EBB" w14:textId="76CC748F" w:rsidR="00350AD0" w:rsidRDefault="00386405" w:rsidP="002E4596">
      <w:pPr>
        <w:bidi/>
        <w:rPr>
          <w:sz w:val="24"/>
          <w:szCs w:val="24"/>
          <w:rtl/>
        </w:rPr>
      </w:pPr>
      <w:r>
        <w:rPr>
          <w:rFonts w:hint="cs"/>
          <w:b/>
          <w:sz w:val="24"/>
          <w:rtl/>
        </w:rPr>
        <w:t>الإجابة:</w:t>
      </w:r>
      <w:r>
        <w:rPr>
          <w:rFonts w:hint="cs"/>
          <w:sz w:val="24"/>
          <w:rtl/>
        </w:rPr>
        <w:t xml:space="preserve"> إن </w:t>
      </w:r>
      <w:r>
        <w:rPr>
          <w:rFonts w:hint="cs"/>
          <w:sz w:val="24"/>
          <w:u w:val="single"/>
          <w:rtl/>
        </w:rPr>
        <w:t>الإنصاف</w:t>
      </w:r>
      <w:r>
        <w:rPr>
          <w:rFonts w:hint="cs"/>
          <w:sz w:val="24"/>
          <w:rtl/>
        </w:rPr>
        <w:t xml:space="preserve"> ودمج بيانات </w:t>
      </w:r>
      <w:r>
        <w:rPr>
          <w:rFonts w:hint="cs"/>
          <w:sz w:val="24"/>
          <w:u w:val="single"/>
          <w:rtl/>
        </w:rPr>
        <w:t>تغير المناخ</w:t>
      </w:r>
      <w:r>
        <w:rPr>
          <w:rFonts w:hint="cs"/>
          <w:sz w:val="24"/>
          <w:rtl/>
        </w:rPr>
        <w:t xml:space="preserve"> الجديدة وزيادة </w:t>
      </w:r>
      <w:r>
        <w:rPr>
          <w:rFonts w:hint="cs"/>
          <w:sz w:val="24"/>
          <w:u w:val="single"/>
          <w:rtl/>
        </w:rPr>
        <w:t>المشاركة العامة</w:t>
      </w:r>
      <w:r>
        <w:rPr>
          <w:rFonts w:hint="cs"/>
          <w:sz w:val="24"/>
          <w:rtl/>
        </w:rPr>
        <w:t xml:space="preserve"> في عملية التخطيط من أهم الأولويات خلال التحديث القادم لخطتنا.</w:t>
      </w:r>
    </w:p>
    <w:p w14:paraId="43656CA4" w14:textId="77777777" w:rsidR="002E4596" w:rsidRDefault="002E4596" w:rsidP="002E4596">
      <w:pPr>
        <w:bidi/>
        <w:rPr>
          <w:sz w:val="24"/>
          <w:szCs w:val="24"/>
          <w:u w:val="single"/>
          <w:rtl/>
        </w:rPr>
      </w:pPr>
    </w:p>
    <w:p w14:paraId="225EE076" w14:textId="1933E45D" w:rsidR="00887DCC" w:rsidRDefault="001B6ADF" w:rsidP="002E4596">
      <w:pPr>
        <w:bidi/>
        <w:rPr>
          <w:sz w:val="24"/>
          <w:szCs w:val="24"/>
          <w:rtl/>
        </w:rPr>
      </w:pPr>
      <w:r>
        <w:rPr>
          <w:rFonts w:hint="cs"/>
          <w:b/>
          <w:noProof/>
          <w:u w:val="single"/>
          <w:rtl/>
        </w:rPr>
        <w:drawing>
          <wp:anchor distT="0" distB="0" distL="114300" distR="114300" simplePos="0" relativeHeight="251663360" behindDoc="0" locked="0" layoutInCell="1" allowOverlap="1" wp14:anchorId="4A3B6924" wp14:editId="5880C390">
            <wp:simplePos x="0" y="0"/>
            <wp:positionH relativeFrom="margin">
              <wp:posOffset>420709</wp:posOffset>
            </wp:positionH>
            <wp:positionV relativeFrom="paragraph">
              <wp:posOffset>14250</wp:posOffset>
            </wp:positionV>
            <wp:extent cx="1639570" cy="1579880"/>
            <wp:effectExtent l="0" t="0" r="0" b="1270"/>
            <wp:wrapNone/>
            <wp:docPr id="30" name="Picture 29" descr="A line art of a city&#10;&#10;Description automatically generated">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line art of a city&#10;&#10;Description automatically generated">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639570" cy="1579880"/>
                    </a:xfrm>
                    <a:prstGeom prst="rect">
                      <a:avLst/>
                    </a:prstGeom>
                  </pic:spPr>
                </pic:pic>
              </a:graphicData>
            </a:graphic>
            <wp14:sizeRelH relativeFrom="margin">
              <wp14:pctWidth>0</wp14:pctWidth>
            </wp14:sizeRelH>
            <wp14:sizeRelV relativeFrom="margin">
              <wp14:pctHeight>0</wp14:pctHeight>
            </wp14:sizeRelV>
          </wp:anchor>
        </w:drawing>
      </w:r>
      <w:r w:rsidR="00887DCC">
        <w:rPr>
          <w:rFonts w:hint="cs"/>
          <w:sz w:val="24"/>
          <w:rtl/>
        </w:rPr>
        <w:t xml:space="preserve">تعرف على المزيد حول أولويات خطتنا لعام 2022 في الملخص التنفيذي </w:t>
      </w:r>
      <w:hyperlink r:id="rId7" w:history="1">
        <w:r w:rsidR="00887DCC">
          <w:rPr>
            <w:rStyle w:val="Hyperlink"/>
            <w:rFonts w:hint="cs"/>
            <w:rtl/>
          </w:rPr>
          <w:t>لخطة تخفيف المخاطر لعام 2022</w:t>
        </w:r>
      </w:hyperlink>
    </w:p>
    <w:p w14:paraId="45CF0A72" w14:textId="282C2592" w:rsidR="00386405" w:rsidRDefault="00386405" w:rsidP="00887DCC">
      <w:pPr>
        <w:ind w:left="3600"/>
        <w:rPr>
          <w:sz w:val="24"/>
          <w:szCs w:val="24"/>
        </w:rPr>
      </w:pPr>
    </w:p>
    <w:p w14:paraId="04505416" w14:textId="261EAED2" w:rsidR="00386405" w:rsidRDefault="00386405" w:rsidP="00887DCC">
      <w:pPr>
        <w:bidi/>
        <w:ind w:left="3600"/>
        <w:rPr>
          <w:sz w:val="24"/>
          <w:szCs w:val="24"/>
          <w:rtl/>
        </w:rPr>
      </w:pPr>
    </w:p>
    <w:p w14:paraId="2B743490" w14:textId="0186D8CA" w:rsidR="00386405" w:rsidRDefault="00386405" w:rsidP="00887DCC">
      <w:pPr>
        <w:ind w:left="3600"/>
        <w:rPr>
          <w:sz w:val="24"/>
          <w:szCs w:val="24"/>
        </w:rPr>
      </w:pPr>
    </w:p>
    <w:p w14:paraId="386A8410" w14:textId="2E6DE2AE" w:rsidR="002E4596" w:rsidRDefault="002E4596" w:rsidP="00981707">
      <w:pPr>
        <w:bidi/>
        <w:rPr>
          <w:sz w:val="24"/>
          <w:szCs w:val="24"/>
          <w:rtl/>
        </w:rPr>
      </w:pPr>
    </w:p>
    <w:p w14:paraId="32275C20" w14:textId="2F3F76F7" w:rsidR="00981707" w:rsidRPr="00992407" w:rsidRDefault="001B6ADF" w:rsidP="002E4596">
      <w:pPr>
        <w:bidi/>
        <w:rPr>
          <w:b/>
          <w:bCs/>
          <w:sz w:val="26"/>
          <w:szCs w:val="26"/>
          <w:rtl/>
        </w:rPr>
      </w:pPr>
      <w:r>
        <w:rPr>
          <w:rFonts w:hint="cs"/>
          <w:b/>
          <w:noProof/>
          <w:u w:val="single"/>
          <w:rtl/>
        </w:rPr>
        <mc:AlternateContent>
          <mc:Choice Requires="wps">
            <w:drawing>
              <wp:anchor distT="0" distB="0" distL="114300" distR="114300" simplePos="0" relativeHeight="251660288" behindDoc="0" locked="0" layoutInCell="1" allowOverlap="1" wp14:anchorId="118F97E5" wp14:editId="3AC23F0B">
                <wp:simplePos x="0" y="0"/>
                <wp:positionH relativeFrom="margin">
                  <wp:align>center</wp:align>
                </wp:positionH>
                <wp:positionV relativeFrom="paragraph">
                  <wp:posOffset>186586</wp:posOffset>
                </wp:positionV>
                <wp:extent cx="6122552" cy="769441"/>
                <wp:effectExtent l="0" t="0" r="0" b="0"/>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6122552" cy="769441"/>
                        </a:xfrm>
                        <a:prstGeom prst="rect">
                          <a:avLst/>
                        </a:prstGeom>
                        <a:noFill/>
                        <a:ln>
                          <a:noFill/>
                        </a:ln>
                      </wps:spPr>
                      <wps:txbx>
                        <w:txbxContent>
                          <w:p w14:paraId="044625EC" w14:textId="2B993E2F" w:rsidR="00DC554B" w:rsidRPr="00992407" w:rsidRDefault="00DC554B" w:rsidP="00DC554B">
                            <w:pPr>
                              <w:bidi/>
                              <w:rPr>
                                <w:rFonts w:hAnsi="Calibri" w:cs="Calibri"/>
                                <w:b/>
                                <w:bCs/>
                                <w:color w:val="D0CECE" w:themeColor="background2" w:themeShade="E6"/>
                                <w:kern w:val="24"/>
                                <w:sz w:val="32"/>
                                <w:szCs w:val="32"/>
                                <w:rtl/>
                              </w:rPr>
                            </w:pPr>
                            <w:r>
                              <w:rPr>
                                <w:rFonts w:hAnsi="Calibri" w:hint="cs"/>
                                <w:b/>
                                <w:color w:val="D0CECE" w:themeColor="background2" w:themeShade="E6"/>
                                <w:sz w:val="32"/>
                                <w:rtl/>
                              </w:rPr>
                              <w:t>خطة تخفيف جميع المخاطر في فيلادلفيا</w:t>
                            </w:r>
                          </w:p>
                        </w:txbxContent>
                      </wps:txbx>
                      <wps:bodyPr wrap="square" lIns="91440" tIns="45720" rIns="91440" bIns="45720" rtlCol="0" anchor="t">
                        <a:spAutoFit/>
                      </wps:bodyPr>
                    </wps:wsp>
                  </a:graphicData>
                </a:graphic>
              </wp:anchor>
            </w:drawing>
          </mc:Choice>
          <mc:Fallback>
            <w:pict>
              <v:shapetype w14:anchorId="118F97E5" id="_x0000_t202" coordsize="21600,21600" o:spt="202" path="m,l,21600r21600,l21600,xe">
                <v:stroke joinstyle="miter"/>
                <v:path gradientshapeok="t" o:connecttype="rect"/>
              </v:shapetype>
              <v:shape id="TextBox 32" o:spid="_x0000_s1026" type="#_x0000_t202" style="position:absolute;left:0;text-align:left;margin-left:0;margin-top:14.7pt;width:482.1pt;height:60.6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" filled="f" stroked="f">
                <v:textbox style="mso-fit-shape-to-text:t">
                  <w:txbxContent>
                    <w:p w14:paraId="044625EC" w14:textId="2B993E2F" w:rsidR="00DC554B" w:rsidRPr="00992407" w:rsidRDefault="00DC554B" w:rsidP="00DC554B">
                      <w:pPr>
                        <w:bidi/>
                        <w:rPr>
                          <w:rFonts w:hAnsi="Calibri" w:cs="Calibri"/>
                          <w:b/>
                          <w:bCs/>
                          <w:color w:val="D0CECE" w:themeColor="background2" w:themeShade="E6"/>
                          <w:kern w:val="24"/>
                          <w:sz w:val="32"/>
                          <w:szCs w:val="32"/>
                          <w:rtl/>
                        </w:rPr>
                      </w:pPr>
                      <w:r>
                        <w:rPr>
                          <w:rFonts w:hAnsi="Calibri" w:hint="cs"/>
                          <w:b/>
                          <w:color w:val="D0CECE" w:themeColor="background2" w:themeShade="E6"/>
                          <w:sz w:val="32"/>
                          <w:rtl/>
                        </w:rPr>
                        <w:t>خطة تخفيف جميع المخاطر في فيلادلفيا</w:t>
                      </w:r>
                    </w:p>
                  </w:txbxContent>
                </v:textbox>
                <w10:wrap anchorx="margin"/>
              </v:shape>
            </w:pict>
          </mc:Fallback>
        </mc:AlternateContent>
      </w:r>
      <w:r w:rsidR="002E4596">
        <w:rPr>
          <w:sz w:val="24"/>
          <w:szCs w:val="24"/>
          <w:rtl/>
        </w:rPr>
        <w:br w:type="column"/>
      </w:r>
      <w:r w:rsidR="00981707">
        <w:rPr>
          <w:rFonts w:hint="cs"/>
          <w:b/>
          <w:sz w:val="26"/>
          <w:rtl/>
        </w:rPr>
        <w:lastRenderedPageBreak/>
        <w:t>السؤال: ما المخاطر التي تم تحديدها في خطة تخفيف المخاطر؟</w:t>
      </w:r>
    </w:p>
    <w:p w14:paraId="46DAF31D" w14:textId="36DA6FA1" w:rsidR="00992407" w:rsidRDefault="00992407" w:rsidP="00992407"/>
    <w:p w14:paraId="23CC8FB2" w14:textId="613DCE51" w:rsidR="007B5AB8" w:rsidRDefault="00B61612" w:rsidP="00992407">
      <w:pPr>
        <w:bidi/>
        <w:rPr>
          <w:sz w:val="24"/>
          <w:szCs w:val="24"/>
          <w:rtl/>
        </w:rPr>
      </w:pPr>
      <w:r>
        <w:rPr>
          <w:rFonts w:hint="cs"/>
          <w:b/>
          <w:sz w:val="26"/>
          <w:rtl/>
        </w:rPr>
        <w:t>الإجابة:</w:t>
      </w:r>
      <w:r>
        <w:rPr>
          <w:rFonts w:hint="cs"/>
          <w:sz w:val="24"/>
          <w:rtl/>
        </w:rPr>
        <w:t xml:space="preserve"> تعمل خطة تخفيف المخاطرِ على تحديد المخاطر والتهديدات الطبيعية وتلك التي يتسبب بها الإنسان، والتي تشكل أكبر خطر على فيلادلفيا. وتتضمن ما يلي:</w:t>
      </w:r>
    </w:p>
    <w:p w14:paraId="27362B0E" w14:textId="77777777" w:rsidR="007B5AB8" w:rsidRDefault="007B5AB8" w:rsidP="00992407">
      <w:pPr>
        <w:rPr>
          <w:sz w:val="24"/>
          <w:szCs w:val="24"/>
        </w:rPr>
      </w:pPr>
    </w:p>
    <w:p w14:paraId="4C7004C5" w14:textId="77777777" w:rsidR="007B5AB8" w:rsidRDefault="007B5AB8" w:rsidP="00992407">
      <w:pPr>
        <w:rPr>
          <w:sz w:val="24"/>
          <w:szCs w:val="24"/>
        </w:rPr>
        <w:sectPr w:rsidR="007B5AB8" w:rsidSect="00A83DE0">
          <w:pgSz w:w="12240" w:h="15840"/>
          <w:pgMar w:top="720" w:right="720" w:bottom="720" w:left="720" w:header="720" w:footer="720" w:gutter="0"/>
          <w:cols w:space="720"/>
          <w:docGrid w:linePitch="360"/>
        </w:sectPr>
      </w:pPr>
    </w:p>
    <w:p w14:paraId="355CBA88" w14:textId="19C6158B" w:rsidR="007B5AB8" w:rsidRDefault="007B5AB8" w:rsidP="00992407">
      <w:pPr>
        <w:bidi/>
        <w:rPr>
          <w:sz w:val="24"/>
          <w:szCs w:val="24"/>
          <w:rtl/>
        </w:rPr>
      </w:pPr>
      <w:r>
        <w:rPr>
          <w:rFonts w:hint="cs"/>
          <w:sz w:val="24"/>
          <w:rtl/>
        </w:rPr>
        <w:t>الجفاف</w:t>
      </w:r>
    </w:p>
    <w:p w14:paraId="4DD795FE" w14:textId="77777777" w:rsidR="007B5AB8" w:rsidRDefault="007B5AB8" w:rsidP="00992407">
      <w:pPr>
        <w:bidi/>
        <w:rPr>
          <w:sz w:val="24"/>
          <w:szCs w:val="24"/>
          <w:rtl/>
        </w:rPr>
      </w:pPr>
      <w:r>
        <w:rPr>
          <w:rFonts w:hint="cs"/>
          <w:sz w:val="24"/>
          <w:rtl/>
        </w:rPr>
        <w:t>الزلازل</w:t>
      </w:r>
    </w:p>
    <w:p w14:paraId="6244061A" w14:textId="2B9E13DC" w:rsidR="007B5AB8" w:rsidRDefault="007B5AB8" w:rsidP="00992407">
      <w:pPr>
        <w:bidi/>
        <w:rPr>
          <w:sz w:val="24"/>
          <w:szCs w:val="24"/>
          <w:rtl/>
        </w:rPr>
      </w:pPr>
      <w:r>
        <w:rPr>
          <w:rFonts w:hint="cs"/>
          <w:sz w:val="24"/>
          <w:rtl/>
        </w:rPr>
        <w:t>درجات الحرارة الخطرة</w:t>
      </w:r>
    </w:p>
    <w:p w14:paraId="0BFAE954" w14:textId="549A7583" w:rsidR="007B5AB8" w:rsidRDefault="007B5AB8" w:rsidP="00992407">
      <w:pPr>
        <w:bidi/>
        <w:rPr>
          <w:sz w:val="24"/>
          <w:szCs w:val="24"/>
          <w:rtl/>
        </w:rPr>
      </w:pPr>
      <w:r>
        <w:rPr>
          <w:rFonts w:hint="cs"/>
          <w:sz w:val="24"/>
          <w:rtl/>
        </w:rPr>
        <w:t>الفيضانات، الفيضانات المباغتة، الانهيارات الجليدية</w:t>
      </w:r>
    </w:p>
    <w:p w14:paraId="0B93F82F" w14:textId="3E5510F0" w:rsidR="007B5AB8" w:rsidRDefault="007B5AB8" w:rsidP="00992407">
      <w:pPr>
        <w:bidi/>
        <w:rPr>
          <w:sz w:val="24"/>
          <w:szCs w:val="24"/>
          <w:rtl/>
        </w:rPr>
      </w:pPr>
      <w:r>
        <w:rPr>
          <w:rFonts w:hint="cs"/>
          <w:sz w:val="24"/>
          <w:rtl/>
        </w:rPr>
        <w:t xml:space="preserve">الأعاصير، العواصف الاستوائية، إعصار </w:t>
      </w:r>
      <w:proofErr w:type="spellStart"/>
      <w:r>
        <w:rPr>
          <w:rFonts w:hint="cs"/>
          <w:sz w:val="24"/>
          <w:rtl/>
        </w:rPr>
        <w:t>نوريستر</w:t>
      </w:r>
      <w:proofErr w:type="spellEnd"/>
    </w:p>
    <w:p w14:paraId="51414090" w14:textId="77C6C9E4" w:rsidR="007B5AB8" w:rsidRDefault="007B5AB8" w:rsidP="00992407">
      <w:pPr>
        <w:bidi/>
        <w:rPr>
          <w:sz w:val="24"/>
          <w:szCs w:val="24"/>
          <w:rtl/>
        </w:rPr>
      </w:pPr>
      <w:r>
        <w:rPr>
          <w:rFonts w:hint="cs"/>
          <w:sz w:val="24"/>
          <w:rtl/>
        </w:rPr>
        <w:t xml:space="preserve">الأوبئة والأمراض المعدية </w:t>
      </w:r>
      <w:r>
        <w:rPr>
          <w:rFonts w:hint="cs"/>
          <w:b/>
          <w:sz w:val="24"/>
          <w:rtl/>
        </w:rPr>
        <w:t>(تمت الإضافة في 2022)</w:t>
      </w:r>
    </w:p>
    <w:p w14:paraId="442DE707" w14:textId="0E9BEF1E" w:rsidR="007B5AB8" w:rsidRDefault="007B5AB8" w:rsidP="00992407">
      <w:pPr>
        <w:bidi/>
        <w:rPr>
          <w:sz w:val="24"/>
          <w:szCs w:val="24"/>
          <w:rtl/>
        </w:rPr>
      </w:pPr>
      <w:r>
        <w:rPr>
          <w:rFonts w:hint="cs"/>
          <w:sz w:val="24"/>
          <w:rtl/>
        </w:rPr>
        <w:t xml:space="preserve">الانخساف الأرضي، الفجوات الغائرة الأرضية </w:t>
      </w:r>
      <w:r>
        <w:rPr>
          <w:rFonts w:hint="cs"/>
          <w:b/>
          <w:sz w:val="24"/>
          <w:rtl/>
        </w:rPr>
        <w:t>(تمت الإضافة في 2022)</w:t>
      </w:r>
    </w:p>
    <w:p w14:paraId="1EEB2776" w14:textId="77777777" w:rsidR="007B5AB8" w:rsidRDefault="007B5AB8" w:rsidP="00992407">
      <w:pPr>
        <w:bidi/>
        <w:rPr>
          <w:sz w:val="24"/>
          <w:szCs w:val="24"/>
          <w:rtl/>
        </w:rPr>
      </w:pPr>
      <w:r>
        <w:rPr>
          <w:rFonts w:hint="cs"/>
          <w:sz w:val="24"/>
          <w:rtl/>
        </w:rPr>
        <w:t>الأعاصير، عواصف الرياح</w:t>
      </w:r>
    </w:p>
    <w:p w14:paraId="2270B246" w14:textId="6A6CB78F" w:rsidR="007B5AB8" w:rsidRDefault="007B5AB8" w:rsidP="00992407">
      <w:pPr>
        <w:bidi/>
        <w:rPr>
          <w:sz w:val="24"/>
          <w:szCs w:val="24"/>
          <w:rtl/>
        </w:rPr>
      </w:pPr>
      <w:r>
        <w:rPr>
          <w:rFonts w:hint="cs"/>
          <w:sz w:val="24"/>
          <w:rtl/>
        </w:rPr>
        <w:t>العواصف الشتوية</w:t>
      </w:r>
    </w:p>
    <w:p w14:paraId="67CAE494" w14:textId="77777777" w:rsidR="007B5AB8" w:rsidRDefault="007B5AB8" w:rsidP="00992407">
      <w:pPr>
        <w:rPr>
          <w:sz w:val="24"/>
          <w:szCs w:val="24"/>
        </w:rPr>
      </w:pPr>
    </w:p>
    <w:p w14:paraId="7AEA8897" w14:textId="6DDC3115" w:rsidR="007B5AB8" w:rsidRDefault="007B5AB8" w:rsidP="00992407">
      <w:pPr>
        <w:bidi/>
        <w:rPr>
          <w:sz w:val="24"/>
          <w:szCs w:val="24"/>
          <w:rtl/>
        </w:rPr>
      </w:pPr>
      <w:r>
        <w:rPr>
          <w:rFonts w:hint="cs"/>
          <w:sz w:val="24"/>
          <w:rtl/>
        </w:rPr>
        <w:t>الهجمات القاتلة</w:t>
      </w:r>
    </w:p>
    <w:p w14:paraId="74F9490E" w14:textId="55EF8599" w:rsidR="00B61612" w:rsidRPr="007B5AB8" w:rsidRDefault="007B5AB8" w:rsidP="00992407">
      <w:pPr>
        <w:bidi/>
        <w:rPr>
          <w:b/>
          <w:bCs/>
          <w:sz w:val="24"/>
          <w:szCs w:val="24"/>
          <w:rtl/>
        </w:rPr>
      </w:pPr>
      <w:r>
        <w:rPr>
          <w:rFonts w:hint="cs"/>
          <w:sz w:val="24"/>
          <w:rtl/>
        </w:rPr>
        <w:t>انهيار المباني والهياكل</w:t>
      </w:r>
    </w:p>
    <w:p w14:paraId="60E512E0" w14:textId="471B2313" w:rsidR="007B5AB8" w:rsidRDefault="007B5AB8" w:rsidP="00992407">
      <w:pPr>
        <w:bidi/>
        <w:rPr>
          <w:sz w:val="24"/>
          <w:szCs w:val="24"/>
          <w:rtl/>
        </w:rPr>
      </w:pPr>
      <w:r>
        <w:rPr>
          <w:rFonts w:hint="cs"/>
          <w:sz w:val="24"/>
          <w:rtl/>
        </w:rPr>
        <w:t xml:space="preserve"> الاضطرابات المدنية </w:t>
      </w:r>
      <w:r>
        <w:rPr>
          <w:rFonts w:hint="cs"/>
          <w:b/>
          <w:sz w:val="24"/>
          <w:rtl/>
        </w:rPr>
        <w:t>(تمت الإضافة في 2022)</w:t>
      </w:r>
    </w:p>
    <w:p w14:paraId="2128C898" w14:textId="44014BFA" w:rsidR="007B5AB8" w:rsidRDefault="007B5AB8" w:rsidP="00992407">
      <w:pPr>
        <w:bidi/>
        <w:rPr>
          <w:sz w:val="24"/>
          <w:szCs w:val="24"/>
          <w:rtl/>
        </w:rPr>
      </w:pPr>
      <w:r>
        <w:rPr>
          <w:rFonts w:hint="cs"/>
          <w:sz w:val="24"/>
          <w:rtl/>
        </w:rPr>
        <w:t xml:space="preserve">الإرهاب السيبراني </w:t>
      </w:r>
      <w:r>
        <w:rPr>
          <w:rFonts w:hint="cs"/>
          <w:b/>
          <w:sz w:val="24"/>
          <w:rtl/>
        </w:rPr>
        <w:t>(تمت الإضافة في 2022)</w:t>
      </w:r>
    </w:p>
    <w:p w14:paraId="25333A6C" w14:textId="7ABF1180" w:rsidR="007B5AB8" w:rsidRPr="000F4E78" w:rsidRDefault="007B5AB8" w:rsidP="00992407">
      <w:pPr>
        <w:bidi/>
        <w:rPr>
          <w:sz w:val="24"/>
          <w:szCs w:val="24"/>
          <w:rtl/>
        </w:rPr>
      </w:pPr>
      <w:r>
        <w:rPr>
          <w:rFonts w:hint="cs"/>
          <w:sz w:val="24"/>
          <w:rtl/>
        </w:rPr>
        <w:t>انهيار السدود</w:t>
      </w:r>
    </w:p>
    <w:p w14:paraId="0F0F45D4" w14:textId="7C1B2A41" w:rsidR="007B5AB8" w:rsidRPr="000F4E78" w:rsidRDefault="007B5AB8" w:rsidP="00992407">
      <w:pPr>
        <w:bidi/>
        <w:rPr>
          <w:sz w:val="24"/>
          <w:szCs w:val="24"/>
          <w:rtl/>
        </w:rPr>
      </w:pPr>
      <w:r>
        <w:rPr>
          <w:rFonts w:hint="cs"/>
          <w:sz w:val="24"/>
          <w:rtl/>
        </w:rPr>
        <w:t xml:space="preserve">العنف المسلح </w:t>
      </w:r>
      <w:r>
        <w:rPr>
          <w:rFonts w:hint="cs"/>
          <w:b/>
          <w:sz w:val="24"/>
          <w:rtl/>
        </w:rPr>
        <w:t>(تمت الإضافة في 2022)</w:t>
      </w:r>
    </w:p>
    <w:p w14:paraId="6F1B3CFC" w14:textId="2749EBED" w:rsidR="007B5AB8" w:rsidRDefault="007B5AB8" w:rsidP="00992407">
      <w:pPr>
        <w:bidi/>
        <w:rPr>
          <w:sz w:val="24"/>
          <w:szCs w:val="24"/>
          <w:rtl/>
        </w:rPr>
      </w:pPr>
      <w:r>
        <w:rPr>
          <w:rFonts w:hint="cs"/>
          <w:sz w:val="24"/>
          <w:rtl/>
        </w:rPr>
        <w:t>إطلاق المواد الخطرة</w:t>
      </w:r>
    </w:p>
    <w:p w14:paraId="59ECADA6" w14:textId="1960424E" w:rsidR="007B5AB8" w:rsidRDefault="007B5AB8" w:rsidP="00992407">
      <w:pPr>
        <w:bidi/>
        <w:rPr>
          <w:sz w:val="24"/>
          <w:szCs w:val="24"/>
          <w:rtl/>
        </w:rPr>
      </w:pPr>
      <w:r>
        <w:rPr>
          <w:rFonts w:hint="cs"/>
          <w:sz w:val="24"/>
          <w:rtl/>
        </w:rPr>
        <w:t xml:space="preserve">الاستجابة لأزمات تعاطي المواد </w:t>
      </w:r>
      <w:proofErr w:type="spellStart"/>
      <w:r>
        <w:rPr>
          <w:rFonts w:hint="cs"/>
          <w:sz w:val="24"/>
          <w:rtl/>
        </w:rPr>
        <w:t>الأفيونية</w:t>
      </w:r>
      <w:proofErr w:type="spellEnd"/>
      <w:r>
        <w:rPr>
          <w:rFonts w:hint="cs"/>
          <w:sz w:val="24"/>
          <w:rtl/>
        </w:rPr>
        <w:t xml:space="preserve"> </w:t>
      </w:r>
      <w:r>
        <w:rPr>
          <w:rFonts w:hint="cs"/>
          <w:b/>
          <w:sz w:val="24"/>
          <w:rtl/>
        </w:rPr>
        <w:t>(تمت الإضافة في 2022)</w:t>
      </w:r>
    </w:p>
    <w:p w14:paraId="179E43EB" w14:textId="56102E37" w:rsidR="007B5AB8" w:rsidRDefault="007B5AB8" w:rsidP="00992407">
      <w:pPr>
        <w:bidi/>
        <w:rPr>
          <w:sz w:val="24"/>
          <w:szCs w:val="24"/>
          <w:rtl/>
        </w:rPr>
      </w:pPr>
      <w:r>
        <w:rPr>
          <w:rFonts w:hint="cs"/>
          <w:sz w:val="24"/>
          <w:rtl/>
        </w:rPr>
        <w:t>الحرائق والانفجارات في المناطق الحضرية</w:t>
      </w:r>
    </w:p>
    <w:p w14:paraId="0073D32F" w14:textId="1FF0749C" w:rsidR="007B5AB8" w:rsidRPr="007B5AB8" w:rsidRDefault="007B5AB8" w:rsidP="00992407">
      <w:pPr>
        <w:bidi/>
        <w:rPr>
          <w:sz w:val="24"/>
          <w:szCs w:val="24"/>
          <w:rtl/>
        </w:rPr>
        <w:sectPr w:rsidR="007B5AB8" w:rsidRPr="007B5AB8" w:rsidSect="00A83DE0">
          <w:type w:val="continuous"/>
          <w:pgSz w:w="12240" w:h="15840"/>
          <w:pgMar w:top="720" w:right="720" w:bottom="720" w:left="720" w:header="720" w:footer="720" w:gutter="0"/>
          <w:cols w:num="2" w:space="720"/>
          <w:docGrid w:linePitch="360"/>
        </w:sectPr>
      </w:pPr>
      <w:r>
        <w:rPr>
          <w:rFonts w:hint="cs"/>
          <w:sz w:val="24"/>
          <w:rtl/>
        </w:rPr>
        <w:t xml:space="preserve">الإرهاب </w:t>
      </w:r>
      <w:r>
        <w:rPr>
          <w:rFonts w:hint="cs"/>
          <w:b/>
          <w:sz w:val="24"/>
          <w:rtl/>
        </w:rPr>
        <w:t>(تمت الإضافة في 2022)</w:t>
      </w:r>
    </w:p>
    <w:p w14:paraId="0AC41CEF" w14:textId="7C3089BD" w:rsidR="00D2442B" w:rsidRDefault="00D2442B" w:rsidP="00992407"/>
    <w:p w14:paraId="78CD5C38" w14:textId="700C617A" w:rsidR="00386405" w:rsidRPr="00386405" w:rsidRDefault="00386405" w:rsidP="00992407">
      <w:pPr>
        <w:bidi/>
        <w:rPr>
          <w:sz w:val="24"/>
          <w:szCs w:val="24"/>
          <w:rtl/>
        </w:rPr>
      </w:pPr>
      <w:r>
        <w:rPr>
          <w:rFonts w:hint="cs"/>
          <w:sz w:val="24"/>
          <w:rtl/>
        </w:rPr>
        <w:t>سيقوم مكتب إدارة الطوارئ (</w:t>
      </w:r>
      <w:r>
        <w:rPr>
          <w:sz w:val="24"/>
        </w:rPr>
        <w:t>OEM</w:t>
      </w:r>
      <w:r>
        <w:rPr>
          <w:rFonts w:hint="cs"/>
          <w:sz w:val="24"/>
          <w:rtl/>
        </w:rPr>
        <w:t>) والشركاء بإعادة تقييم هذه المخاطر وإضافة مخاطر إضافية إذا لزم الأمر أثناء تحديث الخطة التالي.</w:t>
      </w:r>
    </w:p>
    <w:p w14:paraId="70E3A0DC" w14:textId="77777777" w:rsidR="00386405" w:rsidRDefault="00386405" w:rsidP="00992407"/>
    <w:p w14:paraId="6ECD3F51" w14:textId="75949FFE" w:rsidR="00B61612" w:rsidRPr="00E46145" w:rsidRDefault="00B61612" w:rsidP="00992407">
      <w:pPr>
        <w:bidi/>
        <w:rPr>
          <w:b/>
          <w:bCs/>
          <w:sz w:val="26"/>
          <w:szCs w:val="26"/>
          <w:rtl/>
        </w:rPr>
      </w:pPr>
      <w:r>
        <w:rPr>
          <w:rFonts w:hint="cs"/>
          <w:b/>
          <w:sz w:val="26"/>
          <w:rtl/>
        </w:rPr>
        <w:t xml:space="preserve"> السؤال: ماذا يمكننا أن نفعل للحد من المخاطر التي قد تواجهنا؟</w:t>
      </w:r>
    </w:p>
    <w:p w14:paraId="5FD676F2" w14:textId="1DB3494A" w:rsidR="00992407" w:rsidRDefault="00992407" w:rsidP="00DC554B"/>
    <w:p w14:paraId="4CA35C66" w14:textId="57583D49" w:rsidR="00DC554B" w:rsidRDefault="00B61612" w:rsidP="00DC554B">
      <w:pPr>
        <w:bidi/>
        <w:rPr>
          <w:rtl/>
        </w:rPr>
      </w:pPr>
      <w:r>
        <w:rPr>
          <w:rFonts w:hint="cs"/>
          <w:b/>
          <w:sz w:val="26"/>
          <w:rtl/>
        </w:rPr>
        <w:t>الإجابة:</w:t>
      </w:r>
      <w:r>
        <w:rPr>
          <w:rFonts w:hint="cs"/>
          <w:rtl/>
        </w:rPr>
        <w:t xml:space="preserve"> توفر خطة تخفيف المخاطر قائمة مرتبة حسب الأولوية لإجراءات التخفيف التي يمكن للمدينة تنفيذها لتقليل المخاطر التي </w:t>
      </w:r>
      <w:proofErr w:type="spellStart"/>
      <w:r>
        <w:rPr>
          <w:rFonts w:hint="cs"/>
          <w:rtl/>
        </w:rPr>
        <w:t>نواجهها</w:t>
      </w:r>
      <w:proofErr w:type="spellEnd"/>
      <w:r>
        <w:rPr>
          <w:rFonts w:hint="cs"/>
          <w:rtl/>
        </w:rPr>
        <w:t>. تشمل أنواع المشاريع التي تم تحديدها ما يلي:</w:t>
      </w:r>
    </w:p>
    <w:p w14:paraId="3676B930" w14:textId="29376C75" w:rsidR="00DC554B" w:rsidRDefault="00DC554B" w:rsidP="00DC554B"/>
    <w:p w14:paraId="732F0664" w14:textId="2999AE50" w:rsidR="00DC554B" w:rsidRDefault="00DC554B" w:rsidP="00162B9A">
      <w:pPr>
        <w:pStyle w:val="ListParagraph"/>
        <w:bidi/>
        <w:rPr>
          <w:rtl/>
        </w:rPr>
      </w:pPr>
      <w:r>
        <w:rPr>
          <w:rFonts w:hint="cs"/>
          <w:b/>
          <w:rtl/>
        </w:rPr>
        <w:t>الخطط واللوائح المحلية:</w:t>
      </w:r>
      <w:r>
        <w:rPr>
          <w:rFonts w:hint="cs"/>
          <w:rtl/>
        </w:rPr>
        <w:t xml:space="preserve"> تشمل هذه الإجراءات الخطط والمراسيم والسياسات واللوائح التي تؤثر على طريقة بناء وتطوير الأراضي والمباني.</w:t>
      </w:r>
    </w:p>
    <w:p w14:paraId="084F416E" w14:textId="3745CFAF" w:rsidR="00DC554B" w:rsidRDefault="00DC554B" w:rsidP="00DC554B">
      <w:pPr>
        <w:pStyle w:val="ListParagraph"/>
      </w:pPr>
    </w:p>
    <w:p w14:paraId="6E15255C" w14:textId="15FCFFE6" w:rsidR="00DC554B" w:rsidRDefault="00DC554B" w:rsidP="00162B9A">
      <w:pPr>
        <w:pStyle w:val="ListParagraph"/>
        <w:bidi/>
        <w:rPr>
          <w:rtl/>
        </w:rPr>
      </w:pPr>
      <w:r>
        <w:rPr>
          <w:rFonts w:hint="cs"/>
          <w:b/>
          <w:rtl/>
        </w:rPr>
        <w:t xml:space="preserve"> مشاريع الهيكلة والبنية التحتية:</w:t>
      </w:r>
      <w:r>
        <w:rPr>
          <w:rFonts w:hint="cs"/>
          <w:rtl/>
        </w:rPr>
        <w:t xml:space="preserve"> تتضمن هذه الإجراءات تعديل الهياكل والبنية التحتية الحالية لحمايتها من الخطر أو إزالتها من المنطقة الخطرة. يمكن أن ينطبق هذا على الهياكل العامة أو الخاصة وكذلك المرافق والبنية التحتية الحيوية. يتضمن هذا النوع من الإجراءات أيضًا إنشاء هياكل بشرية الصنع لتقليل تأثيرات المخاطر.</w:t>
      </w:r>
    </w:p>
    <w:p w14:paraId="5327C801" w14:textId="2765D4FC" w:rsidR="00DC554B" w:rsidRDefault="00DC554B" w:rsidP="00DC554B">
      <w:pPr>
        <w:pStyle w:val="ListParagraph"/>
      </w:pPr>
    </w:p>
    <w:p w14:paraId="3C471E27" w14:textId="213B993F" w:rsidR="00DC554B" w:rsidRDefault="00DC554B" w:rsidP="00162B9A">
      <w:pPr>
        <w:pStyle w:val="ListParagraph"/>
        <w:bidi/>
        <w:rPr>
          <w:rtl/>
        </w:rPr>
      </w:pPr>
      <w:r>
        <w:rPr>
          <w:rFonts w:hint="cs"/>
          <w:b/>
          <w:rtl/>
        </w:rPr>
        <w:t>حماية الأنظمة الطبيعية:</w:t>
      </w:r>
      <w:r>
        <w:rPr>
          <w:rFonts w:hint="cs"/>
          <w:rtl/>
        </w:rPr>
        <w:t xml:space="preserve"> تهدف هذه الإجراءات إلى تقليل الأضرار والخسائر، من خلال الحفاظ على وظائف الأنظمة الطبيعية أو استعادة كفاءتها.</w:t>
      </w:r>
    </w:p>
    <w:p w14:paraId="3E10804C" w14:textId="40F094AA" w:rsidR="00DC554B" w:rsidRDefault="00DC554B" w:rsidP="00DC554B">
      <w:pPr>
        <w:pStyle w:val="ListParagraph"/>
      </w:pPr>
    </w:p>
    <w:p w14:paraId="0F5C8F05" w14:textId="58B7E540" w:rsidR="00DC554B" w:rsidRDefault="00DC554B" w:rsidP="00162B9A">
      <w:pPr>
        <w:pStyle w:val="ListParagraph"/>
        <w:bidi/>
        <w:rPr>
          <w:rtl/>
        </w:rPr>
      </w:pPr>
      <w:r>
        <w:rPr>
          <w:rFonts w:hint="cs"/>
          <w:b/>
          <w:rtl/>
        </w:rPr>
        <w:t>برامج التثقيف والتوعية:</w:t>
      </w:r>
      <w:r>
        <w:rPr>
          <w:rFonts w:hint="cs"/>
          <w:rtl/>
        </w:rPr>
        <w:t xml:space="preserve"> تهدف هذه الإجراءات إلى إعلام وتثقيف المواطنين والمسؤولين المنتخبين وأصحاب العقارات بخصوص المخاطر والطرق المحتملة للتخفيف من تأثيراتها.</w:t>
      </w:r>
    </w:p>
    <w:p w14:paraId="723B7B4E" w14:textId="3C05585B" w:rsidR="00DC554B" w:rsidRDefault="00DC554B" w:rsidP="00DC554B">
      <w:pPr>
        <w:pStyle w:val="ListParagraph"/>
      </w:pPr>
    </w:p>
    <w:p w14:paraId="438585F5" w14:textId="02294344" w:rsidR="00992407" w:rsidRDefault="00992407" w:rsidP="00DC554B"/>
    <w:p w14:paraId="04062E72" w14:textId="77777777" w:rsidR="0092369F" w:rsidRDefault="0092369F" w:rsidP="00DC554B"/>
    <w:p w14:paraId="190D9105" w14:textId="68BB7E41" w:rsidR="00DC554B" w:rsidRPr="0061764A" w:rsidRDefault="00992407" w:rsidP="00DC554B">
      <w:pPr>
        <w:bidi/>
        <w:rPr>
          <w:b/>
          <w:bCs/>
          <w:sz w:val="26"/>
          <w:szCs w:val="26"/>
          <w:rtl/>
        </w:rPr>
      </w:pPr>
      <w:r>
        <w:rPr>
          <w:rFonts w:hint="cs"/>
          <w:b/>
          <w:sz w:val="26"/>
          <w:rtl/>
        </w:rPr>
        <w:t xml:space="preserve"> السؤال: أين يمكنني الحصول على مزيد من المعلومات حول خطة تخفيف المخاطر وكيفية المشاركة في تحديث الخطة التالية؟</w:t>
      </w:r>
    </w:p>
    <w:p w14:paraId="740529C9" w14:textId="77777777" w:rsidR="00DC554B" w:rsidRPr="00DC554B" w:rsidRDefault="00DC554B" w:rsidP="00DC554B">
      <w:pPr>
        <w:rPr>
          <w:b/>
          <w:bCs/>
          <w:sz w:val="28"/>
          <w:szCs w:val="28"/>
        </w:rPr>
      </w:pPr>
    </w:p>
    <w:p w14:paraId="798FC65A" w14:textId="6E69DC5C" w:rsidR="00887DCC" w:rsidRDefault="00992407" w:rsidP="00DC554B">
      <w:pPr>
        <w:bidi/>
        <w:rPr>
          <w:sz w:val="24"/>
          <w:szCs w:val="24"/>
          <w:rtl/>
        </w:rPr>
      </w:pPr>
      <w:r>
        <w:rPr>
          <w:rFonts w:hint="cs"/>
          <w:b/>
          <w:sz w:val="26"/>
          <w:rtl/>
        </w:rPr>
        <w:t>الإجابة:</w:t>
      </w:r>
      <w:r>
        <w:rPr>
          <w:rFonts w:hint="cs"/>
          <w:sz w:val="24"/>
          <w:rtl/>
        </w:rPr>
        <w:t xml:space="preserve"> يمكنك الحصول على مزيد من المعلومات حول تحديث خطة تخفيف المخاطر على الموقع الإلكتروني لمكتب فيلادلفيا لإدارة الطوارئ (</w:t>
      </w:r>
      <w:r>
        <w:rPr>
          <w:sz w:val="24"/>
        </w:rPr>
        <w:t>OEM</w:t>
      </w:r>
      <w:r>
        <w:rPr>
          <w:rFonts w:hint="cs"/>
          <w:sz w:val="24"/>
          <w:rtl/>
        </w:rPr>
        <w:t xml:space="preserve">) </w:t>
      </w:r>
      <w:hyperlink r:id="rId8" w:history="1">
        <w:r>
          <w:rPr>
            <w:rStyle w:val="Hyperlink"/>
            <w:sz w:val="24"/>
          </w:rPr>
          <w:t>www.phila.gov/ready/programs/hazard-mitigation-plan/</w:t>
        </w:r>
      </w:hyperlink>
      <w:r>
        <w:rPr>
          <w:sz w:val="24"/>
        </w:rPr>
        <w:t>.</w:t>
      </w:r>
    </w:p>
    <w:p w14:paraId="7B606FC3" w14:textId="77777777" w:rsidR="000F4E78" w:rsidRPr="000F4E78" w:rsidRDefault="000F4E78" w:rsidP="00DC554B">
      <w:pPr>
        <w:rPr>
          <w:sz w:val="24"/>
          <w:szCs w:val="24"/>
        </w:rPr>
      </w:pPr>
    </w:p>
    <w:p w14:paraId="72A548FB" w14:textId="0AA8CD94" w:rsidR="00157D10" w:rsidRDefault="00DC554B">
      <w:pPr>
        <w:bidi/>
        <w:rPr>
          <w:sz w:val="24"/>
          <w:rtl/>
        </w:rPr>
      </w:pPr>
      <w:r>
        <w:rPr>
          <w:b/>
          <w:sz w:val="24"/>
        </w:rPr>
        <w:t xml:space="preserve"> </w:t>
      </w:r>
      <w:r>
        <w:rPr>
          <w:rFonts w:hint="cs"/>
          <w:b/>
          <w:sz w:val="24"/>
          <w:rtl/>
        </w:rPr>
        <w:t>هل لديك أية أسئلة أو ملاحظات؟</w:t>
      </w:r>
      <w:r>
        <w:rPr>
          <w:rFonts w:hint="cs"/>
          <w:sz w:val="24"/>
          <w:rtl/>
        </w:rPr>
        <w:t xml:space="preserve"> من فضلك لا تتردد في التواصل مع مكتب فيلادلفيا لإدارة الطوارئ (</w:t>
      </w:r>
      <w:r>
        <w:rPr>
          <w:sz w:val="24"/>
        </w:rPr>
        <w:t>OEM</w:t>
      </w:r>
      <w:r>
        <w:rPr>
          <w:rFonts w:hint="cs"/>
          <w:sz w:val="24"/>
          <w:rtl/>
        </w:rPr>
        <w:t xml:space="preserve">) </w:t>
      </w:r>
      <w:hyperlink r:id="rId9" w:history="1">
        <w:r>
          <w:rPr>
            <w:rStyle w:val="Hyperlink"/>
            <w:sz w:val="24"/>
          </w:rPr>
          <w:t>oem@phila.gov</w:t>
        </w:r>
      </w:hyperlink>
      <w:r>
        <w:rPr>
          <w:sz w:val="24"/>
        </w:rPr>
        <w:t>.</w:t>
      </w:r>
    </w:p>
    <w:p w14:paraId="1D4A40CE" w14:textId="77777777" w:rsidR="002E4596" w:rsidRDefault="002E4596" w:rsidP="002E4596">
      <w:pPr>
        <w:bidi/>
        <w:rPr>
          <w:sz w:val="24"/>
          <w:rtl/>
        </w:rPr>
      </w:pPr>
    </w:p>
    <w:p w14:paraId="023EF793" w14:textId="77F82861" w:rsidR="002E4596" w:rsidRPr="00E46145" w:rsidRDefault="002E4596" w:rsidP="002E4596">
      <w:pPr>
        <w:bidi/>
        <w:rPr>
          <w:b/>
          <w:bCs/>
          <w:sz w:val="24"/>
          <w:szCs w:val="24"/>
          <w:u w:val="single"/>
          <w:rtl/>
        </w:rPr>
      </w:pPr>
    </w:p>
    <w:sectPr w:rsidR="002E4596" w:rsidRPr="00E46145" w:rsidSect="00A83DE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838C3"/>
    <w:multiLevelType w:val="hybridMultilevel"/>
    <w:tmpl w:val="B490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5347174">
    <w:abstractNumId w:val="3"/>
  </w:num>
  <w:num w:numId="2" w16cid:durableId="2013024064">
    <w:abstractNumId w:val="0"/>
  </w:num>
  <w:num w:numId="3" w16cid:durableId="2048556650">
    <w:abstractNumId w:val="2"/>
  </w:num>
  <w:num w:numId="4" w16cid:durableId="39265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4B"/>
    <w:rsid w:val="000B559F"/>
    <w:rsid w:val="000F4E78"/>
    <w:rsid w:val="0011614F"/>
    <w:rsid w:val="00157D10"/>
    <w:rsid w:val="00162B9A"/>
    <w:rsid w:val="001B5FE3"/>
    <w:rsid w:val="001B6ADF"/>
    <w:rsid w:val="00223450"/>
    <w:rsid w:val="002735BD"/>
    <w:rsid w:val="002A0FB7"/>
    <w:rsid w:val="002E4596"/>
    <w:rsid w:val="003278A5"/>
    <w:rsid w:val="00350AD0"/>
    <w:rsid w:val="00386405"/>
    <w:rsid w:val="00404AB6"/>
    <w:rsid w:val="004869AB"/>
    <w:rsid w:val="004A0596"/>
    <w:rsid w:val="004B1ADF"/>
    <w:rsid w:val="00540A43"/>
    <w:rsid w:val="005A3E35"/>
    <w:rsid w:val="0061764A"/>
    <w:rsid w:val="00675F55"/>
    <w:rsid w:val="00691E3A"/>
    <w:rsid w:val="006A65B0"/>
    <w:rsid w:val="006D36E6"/>
    <w:rsid w:val="00723811"/>
    <w:rsid w:val="0073497D"/>
    <w:rsid w:val="00737310"/>
    <w:rsid w:val="007B5AB8"/>
    <w:rsid w:val="007F114C"/>
    <w:rsid w:val="00853E38"/>
    <w:rsid w:val="00887DCC"/>
    <w:rsid w:val="008A6852"/>
    <w:rsid w:val="008B593E"/>
    <w:rsid w:val="008E071C"/>
    <w:rsid w:val="0092369F"/>
    <w:rsid w:val="00981707"/>
    <w:rsid w:val="00992407"/>
    <w:rsid w:val="00A723FC"/>
    <w:rsid w:val="00A83DE0"/>
    <w:rsid w:val="00B61612"/>
    <w:rsid w:val="00C50F95"/>
    <w:rsid w:val="00D2442B"/>
    <w:rsid w:val="00D70397"/>
    <w:rsid w:val="00D813BB"/>
    <w:rsid w:val="00DC554B"/>
    <w:rsid w:val="00DF287C"/>
    <w:rsid w:val="00E46145"/>
    <w:rsid w:val="00F869FC"/>
    <w:rsid w:val="00FC265A"/>
    <w:rsid w:val="00FC2BF7"/>
    <w:rsid w:val="00FF1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6A60"/>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4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54B"/>
    <w:rPr>
      <w:color w:val="0563C1" w:themeColor="hyperlink"/>
      <w:u w:val="single"/>
    </w:rPr>
  </w:style>
  <w:style w:type="paragraph" w:styleId="ListParagraph">
    <w:name w:val="List Paragraph"/>
    <w:basedOn w:val="Normal"/>
    <w:uiPriority w:val="34"/>
    <w:qFormat/>
    <w:rsid w:val="00DC554B"/>
    <w:pPr>
      <w:ind w:left="720"/>
    </w:pPr>
  </w:style>
  <w:style w:type="character" w:styleId="UnresolvedMention">
    <w:name w:val="Unresolved Mention"/>
    <w:basedOn w:val="DefaultParagraphFont"/>
    <w:uiPriority w:val="99"/>
    <w:semiHidden/>
    <w:unhideWhenUsed/>
    <w:rsid w:val="00DC554B"/>
    <w:rPr>
      <w:color w:val="605E5C"/>
      <w:shd w:val="clear" w:color="auto" w:fill="E1DFDD"/>
    </w:rPr>
  </w:style>
  <w:style w:type="character" w:styleId="Emphasis">
    <w:name w:val="Emphasis"/>
    <w:basedOn w:val="DefaultParagraphFont"/>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03326">
      <w:bodyDiv w:val="1"/>
      <w:marLeft w:val="0"/>
      <w:marRight w:val="0"/>
      <w:marTop w:val="0"/>
      <w:marBottom w:val="0"/>
      <w:divBdr>
        <w:top w:val="none" w:sz="0" w:space="0" w:color="auto"/>
        <w:left w:val="none" w:sz="0" w:space="0" w:color="auto"/>
        <w:bottom w:val="none" w:sz="0" w:space="0" w:color="auto"/>
        <w:right w:val="none" w:sz="0" w:space="0" w:color="auto"/>
      </w:divBdr>
    </w:div>
    <w:div w:id="19207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2022-05-02T16:55:00Z</cp:lastPrinted>
  <dcterms:created xsi:type="dcterms:W3CDTF">2024-04-25T17:03:00Z</dcterms:created>
  <dcterms:modified xsi:type="dcterms:W3CDTF">2024-05-10T14:08:00Z</dcterms:modified>
</cp:coreProperties>
</file>