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BBC" w:rsidRPr="00424BBC" w:rsidRDefault="00424BBC" w:rsidP="00424BBC">
      <w:pPr>
        <w:rPr>
          <w:rFonts w:cstheme="minorHAnsi"/>
          <w:b/>
        </w:rPr>
      </w:pPr>
      <w:r w:rsidRPr="00424BBC">
        <w:rPr>
          <w:rFonts w:cstheme="minorHAnsi"/>
          <w:b/>
        </w:rPr>
        <w:t>PWD&amp;WRB Affordability Advisory Committee</w:t>
      </w:r>
    </w:p>
    <w:p w:rsidR="00424BBC" w:rsidRPr="00424BBC" w:rsidRDefault="00424BBC" w:rsidP="00424BBC">
      <w:pPr>
        <w:rPr>
          <w:rFonts w:cstheme="minorHAnsi"/>
          <w:b/>
        </w:rPr>
      </w:pPr>
      <w:r w:rsidRPr="00424BBC">
        <w:rPr>
          <w:rFonts w:cstheme="minorHAnsi"/>
          <w:b/>
        </w:rPr>
        <w:t>October 5, 2016</w:t>
      </w:r>
    </w:p>
    <w:p w:rsidR="00424BBC" w:rsidRPr="00424BBC" w:rsidRDefault="00424BBC" w:rsidP="00424BBC">
      <w:pPr>
        <w:rPr>
          <w:rFonts w:cstheme="minorHAnsi"/>
          <w:b/>
        </w:rPr>
      </w:pPr>
    </w:p>
    <w:p w:rsidR="00424BBC" w:rsidRPr="00424BBC" w:rsidRDefault="00424BBC" w:rsidP="00424BBC">
      <w:pPr>
        <w:rPr>
          <w:rFonts w:cstheme="minorHAnsi"/>
          <w:b/>
        </w:rPr>
      </w:pPr>
      <w:r w:rsidRPr="00424BBC">
        <w:rPr>
          <w:rFonts w:cstheme="minorHAnsi"/>
          <w:b/>
        </w:rPr>
        <w:t>Agenda</w:t>
      </w:r>
    </w:p>
    <w:p w:rsidR="00424BBC" w:rsidRPr="00424BBC" w:rsidRDefault="00424BBC" w:rsidP="00424BBC">
      <w:pPr>
        <w:rPr>
          <w:rFonts w:cstheme="minorHAnsi"/>
        </w:rPr>
      </w:pPr>
    </w:p>
    <w:p w:rsidR="00424BBC" w:rsidRPr="00424BBC" w:rsidRDefault="00424BBC" w:rsidP="00424BBC">
      <w:pPr>
        <w:pStyle w:val="ListParagraph"/>
        <w:numPr>
          <w:ilvl w:val="0"/>
          <w:numId w:val="2"/>
        </w:numPr>
        <w:rPr>
          <w:rFonts w:cstheme="minorHAnsi"/>
        </w:rPr>
      </w:pPr>
      <w:r w:rsidRPr="00424BBC">
        <w:rPr>
          <w:rFonts w:cstheme="minorHAnsi"/>
          <w:u w:val="single"/>
        </w:rPr>
        <w:t>Advisory Committee description</w:t>
      </w:r>
      <w:r w:rsidRPr="00424BBC">
        <w:rPr>
          <w:rFonts w:cstheme="minorHAnsi"/>
        </w:rPr>
        <w:t>:</w:t>
      </w:r>
    </w:p>
    <w:p w:rsidR="00424BBC" w:rsidRDefault="00424BBC" w:rsidP="00424BBC">
      <w:pPr>
        <w:rPr>
          <w:rFonts w:cstheme="minorHAnsi"/>
        </w:rPr>
      </w:pPr>
      <w:r w:rsidRPr="00424BBC">
        <w:rPr>
          <w:rFonts w:cstheme="minorHAnsi"/>
        </w:rPr>
        <w:t xml:space="preserve">Committee members will provide advice/recommendations and participate in public/constituent workshops focused on the upcoming Affordability Program. </w:t>
      </w:r>
      <w:r>
        <w:rPr>
          <w:rFonts w:cstheme="minorHAnsi"/>
        </w:rPr>
        <w:t>T</w:t>
      </w:r>
      <w:r w:rsidRPr="00424BBC">
        <w:rPr>
          <w:rFonts w:cstheme="minorHAnsi"/>
        </w:rPr>
        <w:t xml:space="preserve">he Water Department </w:t>
      </w:r>
      <w:r>
        <w:rPr>
          <w:rFonts w:cstheme="minorHAnsi"/>
        </w:rPr>
        <w:t>and Water Revenue Bureau are</w:t>
      </w:r>
      <w:r w:rsidRPr="00424BBC">
        <w:rPr>
          <w:rFonts w:cstheme="minorHAnsi"/>
        </w:rPr>
        <w:t xml:space="preserve"> launching a new low income affordability program by July 2017. One of our goals is to ensure that we provide information about the program – and encourage enrollment to the best of our ability – over the coming year</w:t>
      </w:r>
      <w:r>
        <w:rPr>
          <w:rFonts w:cstheme="minorHAnsi"/>
        </w:rPr>
        <w:t xml:space="preserve">. To this end, </w:t>
      </w:r>
      <w:r w:rsidRPr="00424BBC">
        <w:rPr>
          <w:rFonts w:cstheme="minorHAnsi"/>
        </w:rPr>
        <w:t>advisory committee</w:t>
      </w:r>
      <w:r>
        <w:rPr>
          <w:rFonts w:cstheme="minorHAnsi"/>
        </w:rPr>
        <w:t xml:space="preserve"> members </w:t>
      </w:r>
      <w:r w:rsidRPr="00424BBC">
        <w:rPr>
          <w:rFonts w:cstheme="minorHAnsi"/>
        </w:rPr>
        <w:t>will assist us with (through your advice and expertise):</w:t>
      </w:r>
    </w:p>
    <w:p w:rsidR="00424BBC" w:rsidRPr="00424BBC" w:rsidRDefault="00424BBC" w:rsidP="00424BBC">
      <w:pPr>
        <w:rPr>
          <w:rFonts w:cstheme="minorHAnsi"/>
        </w:rPr>
      </w:pPr>
    </w:p>
    <w:p w:rsidR="00424BBC" w:rsidRPr="00424BBC" w:rsidRDefault="00424BBC" w:rsidP="00424BBC">
      <w:pPr>
        <w:pStyle w:val="ListParagraph"/>
        <w:numPr>
          <w:ilvl w:val="0"/>
          <w:numId w:val="1"/>
        </w:numPr>
        <w:rPr>
          <w:rFonts w:cstheme="minorHAnsi"/>
        </w:rPr>
      </w:pPr>
      <w:r w:rsidRPr="00424BBC">
        <w:rPr>
          <w:rFonts w:cstheme="minorHAnsi"/>
        </w:rPr>
        <w:t>Messaging</w:t>
      </w:r>
    </w:p>
    <w:p w:rsidR="00424BBC" w:rsidRPr="00424BBC" w:rsidRDefault="00424BBC" w:rsidP="00424BBC">
      <w:pPr>
        <w:pStyle w:val="ListParagraph"/>
        <w:numPr>
          <w:ilvl w:val="0"/>
          <w:numId w:val="1"/>
        </w:numPr>
        <w:rPr>
          <w:rFonts w:cstheme="minorHAnsi"/>
        </w:rPr>
      </w:pPr>
      <w:r w:rsidRPr="00424BBC">
        <w:rPr>
          <w:rFonts w:cstheme="minorHAnsi"/>
        </w:rPr>
        <w:t>Information campaign</w:t>
      </w:r>
    </w:p>
    <w:p w:rsidR="00424BBC" w:rsidRPr="00424BBC" w:rsidRDefault="00424BBC" w:rsidP="00424BBC">
      <w:pPr>
        <w:pStyle w:val="ListParagraph"/>
        <w:numPr>
          <w:ilvl w:val="0"/>
          <w:numId w:val="1"/>
        </w:numPr>
        <w:rPr>
          <w:rFonts w:cstheme="minorHAnsi"/>
        </w:rPr>
      </w:pPr>
      <w:r w:rsidRPr="00424BBC">
        <w:rPr>
          <w:rFonts w:cstheme="minorHAnsi"/>
        </w:rPr>
        <w:t>Public workshops</w:t>
      </w:r>
    </w:p>
    <w:p w:rsidR="00424BBC" w:rsidRPr="00424BBC" w:rsidRDefault="00424BBC" w:rsidP="00424BBC">
      <w:pPr>
        <w:pStyle w:val="ListParagraph"/>
        <w:numPr>
          <w:ilvl w:val="0"/>
          <w:numId w:val="1"/>
        </w:numPr>
        <w:rPr>
          <w:rFonts w:cstheme="minorHAnsi"/>
        </w:rPr>
      </w:pPr>
      <w:r w:rsidRPr="00424BBC">
        <w:rPr>
          <w:rFonts w:cstheme="minorHAnsi"/>
        </w:rPr>
        <w:t xml:space="preserve">Ease of application </w:t>
      </w:r>
    </w:p>
    <w:p w:rsidR="006908BC" w:rsidRPr="00424BBC" w:rsidRDefault="00EC43FF">
      <w:pPr>
        <w:rPr>
          <w:rFonts w:cstheme="minorHAnsi"/>
        </w:rPr>
      </w:pPr>
    </w:p>
    <w:p w:rsidR="00EC43FF" w:rsidRPr="00EC43FF" w:rsidRDefault="00424BBC" w:rsidP="00EC43FF">
      <w:pPr>
        <w:pStyle w:val="ListParagraph"/>
        <w:numPr>
          <w:ilvl w:val="0"/>
          <w:numId w:val="2"/>
        </w:numPr>
        <w:rPr>
          <w:rFonts w:cstheme="minorHAnsi"/>
          <w:u w:val="single"/>
        </w:rPr>
      </w:pPr>
      <w:r w:rsidRPr="00424BBC">
        <w:rPr>
          <w:rFonts w:cstheme="minorHAnsi"/>
          <w:u w:val="single"/>
        </w:rPr>
        <w:t>Program Goals</w:t>
      </w:r>
      <w:bookmarkStart w:id="0" w:name="_GoBack"/>
      <w:bookmarkEnd w:id="0"/>
    </w:p>
    <w:p w:rsidR="00424BBC" w:rsidRPr="00424BBC" w:rsidRDefault="00424BBC" w:rsidP="00424BBC">
      <w:pPr>
        <w:numPr>
          <w:ilvl w:val="0"/>
          <w:numId w:val="3"/>
        </w:numPr>
        <w:spacing w:after="200" w:line="276" w:lineRule="auto"/>
        <w:contextualSpacing/>
        <w:rPr>
          <w:rFonts w:cstheme="minorHAnsi"/>
        </w:rPr>
      </w:pPr>
      <w:r>
        <w:rPr>
          <w:rFonts w:cstheme="minorHAnsi"/>
        </w:rPr>
        <w:t xml:space="preserve">All </w:t>
      </w:r>
      <w:r w:rsidRPr="00424BBC">
        <w:rPr>
          <w:rFonts w:cstheme="minorHAnsi"/>
        </w:rPr>
        <w:t>WRAP customers apply for Affordability Program</w:t>
      </w:r>
    </w:p>
    <w:p w:rsidR="00424BBC" w:rsidRPr="00424BBC" w:rsidRDefault="00424BBC" w:rsidP="00424BBC">
      <w:pPr>
        <w:numPr>
          <w:ilvl w:val="0"/>
          <w:numId w:val="3"/>
        </w:numPr>
        <w:spacing w:after="200" w:line="276" w:lineRule="auto"/>
        <w:contextualSpacing/>
        <w:rPr>
          <w:rFonts w:cstheme="minorHAnsi"/>
        </w:rPr>
      </w:pPr>
      <w:r w:rsidRPr="00424BBC">
        <w:rPr>
          <w:rFonts w:cstheme="minorHAnsi"/>
        </w:rPr>
        <w:t>All eligible customers apply for Affordability Program</w:t>
      </w:r>
    </w:p>
    <w:p w:rsidR="00424BBC" w:rsidRDefault="00424BBC" w:rsidP="00424BBC">
      <w:pPr>
        <w:spacing w:after="200" w:line="276" w:lineRule="auto"/>
        <w:rPr>
          <w:rFonts w:cstheme="minorHAnsi"/>
        </w:rPr>
      </w:pPr>
    </w:p>
    <w:p w:rsidR="00424BBC" w:rsidRPr="00424BBC" w:rsidRDefault="00424BBC" w:rsidP="00424BBC">
      <w:pPr>
        <w:spacing w:after="200" w:line="276" w:lineRule="auto"/>
        <w:rPr>
          <w:rFonts w:cstheme="minorHAnsi"/>
        </w:rPr>
      </w:pPr>
      <w:r w:rsidRPr="00424BBC">
        <w:rPr>
          <w:rFonts w:cstheme="minorHAnsi"/>
        </w:rPr>
        <w:t>Enrollment in current WRAP program ends June 30, 2017. $500 city grant ends June 30, 2017. Customers may re-enroll in WRAP if this is a better option after June 30, 2017 but the city grant will no longer be available. $500 City grant = $200 to back debt and $300 to current bill.</w:t>
      </w:r>
    </w:p>
    <w:p w:rsidR="00424BBC" w:rsidRPr="00424BBC" w:rsidRDefault="00424BBC" w:rsidP="00424BBC">
      <w:pPr>
        <w:spacing w:after="200" w:line="276" w:lineRule="auto"/>
        <w:rPr>
          <w:rFonts w:cstheme="minorHAnsi"/>
        </w:rPr>
      </w:pPr>
      <w:r w:rsidRPr="00424BBC">
        <w:rPr>
          <w:rFonts w:cstheme="minorHAnsi"/>
        </w:rPr>
        <w:t>Program Differences</w:t>
      </w:r>
    </w:p>
    <w:tbl>
      <w:tblPr>
        <w:tblStyle w:val="TableGrid"/>
        <w:tblW w:w="0" w:type="auto"/>
        <w:tblLook w:val="04A0" w:firstRow="1" w:lastRow="0" w:firstColumn="1" w:lastColumn="0" w:noHBand="0" w:noVBand="1"/>
      </w:tblPr>
      <w:tblGrid>
        <w:gridCol w:w="4788"/>
        <w:gridCol w:w="4788"/>
      </w:tblGrid>
      <w:tr w:rsidR="00424BBC" w:rsidRPr="00424BBC" w:rsidTr="00951EC5">
        <w:tc>
          <w:tcPr>
            <w:tcW w:w="4788" w:type="dxa"/>
          </w:tcPr>
          <w:p w:rsidR="00424BBC" w:rsidRPr="00424BBC" w:rsidRDefault="00424BBC" w:rsidP="00424BBC">
            <w:pPr>
              <w:rPr>
                <w:rFonts w:cstheme="minorHAnsi"/>
                <w:b/>
              </w:rPr>
            </w:pPr>
            <w:r w:rsidRPr="00424BBC">
              <w:rPr>
                <w:rFonts w:cstheme="minorHAnsi"/>
                <w:b/>
              </w:rPr>
              <w:t>WRAP</w:t>
            </w:r>
          </w:p>
        </w:tc>
        <w:tc>
          <w:tcPr>
            <w:tcW w:w="4788" w:type="dxa"/>
          </w:tcPr>
          <w:p w:rsidR="00424BBC" w:rsidRPr="00424BBC" w:rsidRDefault="00424BBC" w:rsidP="00424BBC">
            <w:pPr>
              <w:rPr>
                <w:rFonts w:cstheme="minorHAnsi"/>
                <w:b/>
              </w:rPr>
            </w:pPr>
            <w:r w:rsidRPr="00424BBC">
              <w:rPr>
                <w:rFonts w:cstheme="minorHAnsi"/>
                <w:b/>
              </w:rPr>
              <w:t>Affordability</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t>Up to 250% FPL</w:t>
            </w:r>
          </w:p>
        </w:tc>
        <w:tc>
          <w:tcPr>
            <w:tcW w:w="4788" w:type="dxa"/>
          </w:tcPr>
          <w:p w:rsidR="00424BBC" w:rsidRPr="00424BBC" w:rsidRDefault="00424BBC" w:rsidP="00424BBC">
            <w:pPr>
              <w:rPr>
                <w:rFonts w:cstheme="minorHAnsi"/>
              </w:rPr>
            </w:pPr>
            <w:r w:rsidRPr="00424BBC">
              <w:rPr>
                <w:rFonts w:cstheme="minorHAnsi"/>
              </w:rPr>
              <w:t>Up to 150% FPL</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t>UESF/City Grant</w:t>
            </w:r>
          </w:p>
        </w:tc>
        <w:tc>
          <w:tcPr>
            <w:tcW w:w="4788" w:type="dxa"/>
          </w:tcPr>
          <w:p w:rsidR="00424BBC" w:rsidRPr="00424BBC" w:rsidRDefault="00424BBC" w:rsidP="00424BBC">
            <w:pPr>
              <w:rPr>
                <w:rFonts w:cstheme="minorHAnsi"/>
              </w:rPr>
            </w:pPr>
            <w:r w:rsidRPr="00424BBC">
              <w:rPr>
                <w:rFonts w:cstheme="minorHAnsi"/>
              </w:rPr>
              <w:t>UESF – 150 to 250% FPL/No city grant</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t>Need to be delinquent</w:t>
            </w:r>
          </w:p>
        </w:tc>
        <w:tc>
          <w:tcPr>
            <w:tcW w:w="4788" w:type="dxa"/>
          </w:tcPr>
          <w:p w:rsidR="00424BBC" w:rsidRPr="00424BBC" w:rsidRDefault="00424BBC" w:rsidP="00424BBC">
            <w:pPr>
              <w:rPr>
                <w:rFonts w:cstheme="minorHAnsi"/>
              </w:rPr>
            </w:pPr>
            <w:r w:rsidRPr="00424BBC">
              <w:rPr>
                <w:rFonts w:cstheme="minorHAnsi"/>
              </w:rPr>
              <w:t>Proactive</w:t>
            </w:r>
            <w:r w:rsidR="00BD65C8">
              <w:rPr>
                <w:rFonts w:cstheme="minorHAnsi"/>
              </w:rPr>
              <w:t xml:space="preserve"> – delinquency not a requirement</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t>Assistance based on outstanding bill and income</w:t>
            </w:r>
          </w:p>
        </w:tc>
        <w:tc>
          <w:tcPr>
            <w:tcW w:w="4788" w:type="dxa"/>
          </w:tcPr>
          <w:p w:rsidR="00424BBC" w:rsidRPr="00424BBC" w:rsidRDefault="00424BBC" w:rsidP="00424BBC">
            <w:pPr>
              <w:rPr>
                <w:rFonts w:cstheme="minorHAnsi"/>
              </w:rPr>
            </w:pPr>
            <w:r w:rsidRPr="00424BBC">
              <w:rPr>
                <w:rFonts w:cstheme="minorHAnsi"/>
              </w:rPr>
              <w:t>Bill is percentage based:</w:t>
            </w:r>
          </w:p>
          <w:p w:rsidR="00424BBC" w:rsidRPr="00424BBC" w:rsidRDefault="00BD65C8" w:rsidP="00424BBC">
            <w:pPr>
              <w:rPr>
                <w:rFonts w:cstheme="minorHAnsi"/>
              </w:rPr>
            </w:pPr>
            <w:r>
              <w:rPr>
                <w:rFonts w:cstheme="minorHAnsi"/>
              </w:rPr>
              <w:t>0-50% FPL (2</w:t>
            </w:r>
            <w:r w:rsidR="00424BBC" w:rsidRPr="00424BBC">
              <w:rPr>
                <w:rFonts w:cstheme="minorHAnsi"/>
              </w:rPr>
              <w:t>% of income)</w:t>
            </w:r>
          </w:p>
          <w:p w:rsidR="00424BBC" w:rsidRPr="00424BBC" w:rsidRDefault="00424BBC" w:rsidP="00424BBC">
            <w:pPr>
              <w:rPr>
                <w:rFonts w:cstheme="minorHAnsi"/>
              </w:rPr>
            </w:pPr>
            <w:r w:rsidRPr="00424BBC">
              <w:rPr>
                <w:rFonts w:cstheme="minorHAnsi"/>
              </w:rPr>
              <w:t>51-100% FPL (2.5% of income)</w:t>
            </w:r>
          </w:p>
          <w:p w:rsidR="00424BBC" w:rsidRPr="00424BBC" w:rsidRDefault="00424BBC" w:rsidP="00424BBC">
            <w:pPr>
              <w:rPr>
                <w:rFonts w:cstheme="minorHAnsi"/>
              </w:rPr>
            </w:pPr>
            <w:r w:rsidRPr="00424BBC">
              <w:rPr>
                <w:rFonts w:cstheme="minorHAnsi"/>
              </w:rPr>
              <w:t>101 – 150% FPL (3% of income)</w:t>
            </w:r>
          </w:p>
          <w:p w:rsidR="00424BBC" w:rsidRPr="00424BBC" w:rsidRDefault="00424BBC" w:rsidP="00424BBC">
            <w:pPr>
              <w:rPr>
                <w:rFonts w:cstheme="minorHAnsi"/>
              </w:rPr>
            </w:pPr>
            <w:r w:rsidRPr="00424BBC">
              <w:rPr>
                <w:rFonts w:cstheme="minorHAnsi"/>
              </w:rPr>
              <w:t>Special hardship (4% of income)</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t>Minimum bill $25/month</w:t>
            </w:r>
          </w:p>
        </w:tc>
        <w:tc>
          <w:tcPr>
            <w:tcW w:w="4788" w:type="dxa"/>
          </w:tcPr>
          <w:p w:rsidR="00424BBC" w:rsidRPr="00424BBC" w:rsidRDefault="00424BBC" w:rsidP="00424BBC">
            <w:pPr>
              <w:rPr>
                <w:rFonts w:cstheme="minorHAnsi"/>
              </w:rPr>
            </w:pPr>
            <w:r w:rsidRPr="00424BBC">
              <w:rPr>
                <w:rFonts w:cstheme="minorHAnsi"/>
              </w:rPr>
              <w:t>Minimum bill $12/month</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t>Shut Off suspension with consistent WRAP payments</w:t>
            </w:r>
          </w:p>
        </w:tc>
        <w:tc>
          <w:tcPr>
            <w:tcW w:w="4788" w:type="dxa"/>
          </w:tcPr>
          <w:p w:rsidR="00424BBC" w:rsidRPr="00424BBC" w:rsidRDefault="00424BBC" w:rsidP="00424BBC">
            <w:pPr>
              <w:rPr>
                <w:rFonts w:cstheme="minorHAnsi"/>
              </w:rPr>
            </w:pPr>
            <w:r w:rsidRPr="00424BBC">
              <w:rPr>
                <w:rFonts w:cstheme="minorHAnsi"/>
              </w:rPr>
              <w:t>Shut off and debt suspension</w:t>
            </w:r>
          </w:p>
        </w:tc>
      </w:tr>
      <w:tr w:rsidR="00424BBC" w:rsidRPr="00424BBC" w:rsidTr="00951EC5">
        <w:tc>
          <w:tcPr>
            <w:tcW w:w="4788" w:type="dxa"/>
          </w:tcPr>
          <w:p w:rsidR="00424BBC" w:rsidRPr="00424BBC" w:rsidRDefault="00424BBC" w:rsidP="00424BBC">
            <w:pPr>
              <w:rPr>
                <w:rFonts w:cstheme="minorHAnsi"/>
              </w:rPr>
            </w:pPr>
          </w:p>
        </w:tc>
        <w:tc>
          <w:tcPr>
            <w:tcW w:w="4788" w:type="dxa"/>
          </w:tcPr>
          <w:p w:rsidR="00424BBC" w:rsidRPr="00424BBC" w:rsidRDefault="00424BBC" w:rsidP="00424BBC">
            <w:pPr>
              <w:rPr>
                <w:rFonts w:cstheme="minorHAnsi"/>
              </w:rPr>
            </w:pPr>
            <w:r w:rsidRPr="00424BBC">
              <w:rPr>
                <w:rFonts w:cstheme="minorHAnsi"/>
              </w:rPr>
              <w:t>24 months of consistent payment achieves forgiveness of penalties</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t>Approximately 11,000 current customers</w:t>
            </w:r>
          </w:p>
        </w:tc>
        <w:tc>
          <w:tcPr>
            <w:tcW w:w="4788" w:type="dxa"/>
          </w:tcPr>
          <w:p w:rsidR="00424BBC" w:rsidRPr="00424BBC" w:rsidRDefault="00424BBC" w:rsidP="00424BBC">
            <w:pPr>
              <w:rPr>
                <w:rFonts w:cstheme="minorHAnsi"/>
              </w:rPr>
            </w:pPr>
            <w:r w:rsidRPr="00424BBC">
              <w:rPr>
                <w:rFonts w:cstheme="minorHAnsi"/>
              </w:rPr>
              <w:t>Approximately 60,000 eligible customers</w:t>
            </w:r>
          </w:p>
        </w:tc>
      </w:tr>
      <w:tr w:rsidR="00424BBC" w:rsidRPr="00424BBC" w:rsidTr="00951EC5">
        <w:tc>
          <w:tcPr>
            <w:tcW w:w="4788" w:type="dxa"/>
          </w:tcPr>
          <w:p w:rsidR="00424BBC" w:rsidRPr="00424BBC" w:rsidRDefault="00424BBC" w:rsidP="00424BBC">
            <w:pPr>
              <w:rPr>
                <w:rFonts w:cstheme="minorHAnsi"/>
              </w:rPr>
            </w:pPr>
            <w:r w:rsidRPr="00424BBC">
              <w:rPr>
                <w:rFonts w:cstheme="minorHAnsi"/>
              </w:rPr>
              <w:lastRenderedPageBreak/>
              <w:t>Application process:</w:t>
            </w:r>
          </w:p>
          <w:p w:rsidR="00424BBC" w:rsidRPr="00424BBC" w:rsidRDefault="00424BBC" w:rsidP="00424BBC">
            <w:pPr>
              <w:rPr>
                <w:rFonts w:cstheme="minorHAnsi"/>
              </w:rPr>
            </w:pPr>
            <w:r w:rsidRPr="00424BBC">
              <w:rPr>
                <w:rFonts w:cstheme="minorHAnsi"/>
              </w:rPr>
              <w:t>Call for application which is mailed</w:t>
            </w:r>
          </w:p>
          <w:p w:rsidR="00424BBC" w:rsidRPr="00424BBC" w:rsidRDefault="00424BBC" w:rsidP="00424BBC">
            <w:pPr>
              <w:rPr>
                <w:rFonts w:cstheme="minorHAnsi"/>
              </w:rPr>
            </w:pPr>
            <w:r w:rsidRPr="00424BBC">
              <w:rPr>
                <w:rFonts w:cstheme="minorHAnsi"/>
              </w:rPr>
              <w:t>Walk in to MSB or satellite centers</w:t>
            </w:r>
          </w:p>
        </w:tc>
        <w:tc>
          <w:tcPr>
            <w:tcW w:w="4788" w:type="dxa"/>
          </w:tcPr>
          <w:p w:rsidR="00424BBC" w:rsidRPr="00424BBC" w:rsidRDefault="00424BBC" w:rsidP="00424BBC">
            <w:pPr>
              <w:rPr>
                <w:rFonts w:cstheme="minorHAnsi"/>
              </w:rPr>
            </w:pPr>
            <w:r w:rsidRPr="00424BBC">
              <w:rPr>
                <w:rFonts w:cstheme="minorHAnsi"/>
              </w:rPr>
              <w:t>Application process:</w:t>
            </w:r>
          </w:p>
          <w:p w:rsidR="00424BBC" w:rsidRPr="00424BBC" w:rsidRDefault="00424BBC" w:rsidP="00424BBC">
            <w:pPr>
              <w:rPr>
                <w:rFonts w:cstheme="minorHAnsi"/>
              </w:rPr>
            </w:pPr>
            <w:r w:rsidRPr="00424BBC">
              <w:rPr>
                <w:rFonts w:cstheme="minorHAnsi"/>
              </w:rPr>
              <w:t>Call for application which is mailed</w:t>
            </w:r>
          </w:p>
          <w:p w:rsidR="00424BBC" w:rsidRPr="00424BBC" w:rsidRDefault="00424BBC" w:rsidP="00424BBC">
            <w:pPr>
              <w:rPr>
                <w:rFonts w:cstheme="minorHAnsi"/>
              </w:rPr>
            </w:pPr>
            <w:r w:rsidRPr="00424BBC">
              <w:rPr>
                <w:rFonts w:cstheme="minorHAnsi"/>
              </w:rPr>
              <w:t>Walk into MSB or satellite centers</w:t>
            </w:r>
          </w:p>
          <w:p w:rsidR="00424BBC" w:rsidRPr="00424BBC" w:rsidRDefault="00424BBC" w:rsidP="00424BBC">
            <w:pPr>
              <w:rPr>
                <w:rFonts w:cstheme="minorHAnsi"/>
              </w:rPr>
            </w:pPr>
            <w:r w:rsidRPr="00424BBC">
              <w:rPr>
                <w:rFonts w:cstheme="minorHAnsi"/>
              </w:rPr>
              <w:t>Apply online (sections of application can be filled in automatically with use of the customer access code)</w:t>
            </w:r>
          </w:p>
        </w:tc>
      </w:tr>
    </w:tbl>
    <w:p w:rsidR="00424BBC" w:rsidRPr="00424BBC" w:rsidRDefault="00424BBC" w:rsidP="00424BBC">
      <w:pPr>
        <w:spacing w:after="200" w:line="276" w:lineRule="auto"/>
        <w:rPr>
          <w:rFonts w:cstheme="minorHAnsi"/>
        </w:rPr>
      </w:pPr>
    </w:p>
    <w:p w:rsidR="00424BBC" w:rsidRPr="00BD65C8" w:rsidRDefault="00424BBC" w:rsidP="00BD65C8">
      <w:pPr>
        <w:pStyle w:val="ListParagraph"/>
        <w:numPr>
          <w:ilvl w:val="0"/>
          <w:numId w:val="3"/>
        </w:numPr>
        <w:rPr>
          <w:rFonts w:cstheme="minorHAnsi"/>
          <w:u w:val="single"/>
        </w:rPr>
      </w:pPr>
      <w:r w:rsidRPr="00BD65C8">
        <w:rPr>
          <w:rFonts w:cstheme="minorHAnsi"/>
          <w:u w:val="single"/>
        </w:rPr>
        <w:t>Customer Outreach Process</w:t>
      </w:r>
    </w:p>
    <w:p w:rsidR="00424BBC" w:rsidRPr="00424BBC" w:rsidRDefault="00BD65C8" w:rsidP="00424BBC">
      <w:pPr>
        <w:spacing w:after="200" w:line="276" w:lineRule="auto"/>
        <w:rPr>
          <w:rFonts w:cstheme="minorHAnsi"/>
        </w:rPr>
      </w:pPr>
      <w:r>
        <w:rPr>
          <w:rFonts w:cstheme="minorHAnsi"/>
        </w:rPr>
        <w:t>PWD &amp; WRB</w:t>
      </w:r>
      <w:r w:rsidR="00424BBC" w:rsidRPr="00424BBC">
        <w:rPr>
          <w:rFonts w:cstheme="minorHAnsi"/>
        </w:rPr>
        <w:t xml:space="preserve"> develops messaging, program identity and recommended outreach process for all customer “touch points” and work</w:t>
      </w:r>
      <w:r>
        <w:rPr>
          <w:rFonts w:cstheme="minorHAnsi"/>
        </w:rPr>
        <w:t>s</w:t>
      </w:r>
      <w:r w:rsidR="00424BBC" w:rsidRPr="00424BBC">
        <w:rPr>
          <w:rFonts w:cstheme="minorHAnsi"/>
        </w:rPr>
        <w:t xml:space="preserve"> with Advisory Council to maximize effectiveness.</w:t>
      </w:r>
    </w:p>
    <w:p w:rsidR="00424BBC" w:rsidRPr="00424BBC" w:rsidRDefault="00424BBC" w:rsidP="00424BBC">
      <w:pPr>
        <w:spacing w:after="200" w:line="276" w:lineRule="auto"/>
        <w:rPr>
          <w:rFonts w:cstheme="minorHAnsi"/>
        </w:rPr>
      </w:pPr>
      <w:r w:rsidRPr="00424BBC">
        <w:rPr>
          <w:rFonts w:cstheme="minorHAnsi"/>
        </w:rPr>
        <w:t>Tools to include:</w:t>
      </w:r>
    </w:p>
    <w:p w:rsidR="00424BBC" w:rsidRPr="00424BBC" w:rsidRDefault="00424BBC" w:rsidP="00424BBC">
      <w:pPr>
        <w:numPr>
          <w:ilvl w:val="0"/>
          <w:numId w:val="4"/>
        </w:numPr>
        <w:spacing w:after="200" w:line="276" w:lineRule="auto"/>
        <w:contextualSpacing/>
        <w:rPr>
          <w:rFonts w:cstheme="minorHAnsi"/>
        </w:rPr>
      </w:pPr>
      <w:r w:rsidRPr="00424BBC">
        <w:rPr>
          <w:rFonts w:cstheme="minorHAnsi"/>
        </w:rPr>
        <w:t>Publications (</w:t>
      </w:r>
      <w:proofErr w:type="spellStart"/>
      <w:r w:rsidRPr="00424BBC">
        <w:rPr>
          <w:rFonts w:cstheme="minorHAnsi"/>
        </w:rPr>
        <w:t>billstuffers</w:t>
      </w:r>
      <w:proofErr w:type="spellEnd"/>
      <w:r w:rsidRPr="00424BBC">
        <w:rPr>
          <w:rFonts w:cstheme="minorHAnsi"/>
        </w:rPr>
        <w:t>, fact sheets, partner newsletters)</w:t>
      </w:r>
    </w:p>
    <w:p w:rsidR="00424BBC" w:rsidRPr="00424BBC" w:rsidRDefault="00424BBC" w:rsidP="00424BBC">
      <w:pPr>
        <w:numPr>
          <w:ilvl w:val="0"/>
          <w:numId w:val="4"/>
        </w:numPr>
        <w:spacing w:after="200" w:line="276" w:lineRule="auto"/>
        <w:contextualSpacing/>
        <w:rPr>
          <w:rFonts w:cstheme="minorHAnsi"/>
        </w:rPr>
      </w:pPr>
      <w:r w:rsidRPr="00424BBC">
        <w:rPr>
          <w:rFonts w:cstheme="minorHAnsi"/>
        </w:rPr>
        <w:t>Website</w:t>
      </w:r>
    </w:p>
    <w:p w:rsidR="00424BBC" w:rsidRPr="00424BBC" w:rsidRDefault="00424BBC" w:rsidP="00424BBC">
      <w:pPr>
        <w:numPr>
          <w:ilvl w:val="0"/>
          <w:numId w:val="4"/>
        </w:numPr>
        <w:spacing w:after="200" w:line="276" w:lineRule="auto"/>
        <w:contextualSpacing/>
        <w:rPr>
          <w:rFonts w:cstheme="minorHAnsi"/>
        </w:rPr>
      </w:pPr>
      <w:r w:rsidRPr="00424BBC">
        <w:rPr>
          <w:rFonts w:cstheme="minorHAnsi"/>
        </w:rPr>
        <w:t>Advertising if possible, e.g., SEPTA buses</w:t>
      </w:r>
    </w:p>
    <w:p w:rsidR="00424BBC" w:rsidRPr="00424BBC" w:rsidRDefault="00424BBC" w:rsidP="00424BBC">
      <w:pPr>
        <w:numPr>
          <w:ilvl w:val="0"/>
          <w:numId w:val="4"/>
        </w:numPr>
        <w:spacing w:after="200" w:line="276" w:lineRule="auto"/>
        <w:contextualSpacing/>
        <w:rPr>
          <w:rFonts w:cstheme="minorHAnsi"/>
        </w:rPr>
      </w:pPr>
      <w:r w:rsidRPr="00424BBC">
        <w:rPr>
          <w:rFonts w:cstheme="minorHAnsi"/>
        </w:rPr>
        <w:t>Community meetings</w:t>
      </w:r>
    </w:p>
    <w:p w:rsidR="00424BBC" w:rsidRPr="00424BBC" w:rsidRDefault="00424BBC" w:rsidP="00424BBC">
      <w:pPr>
        <w:numPr>
          <w:ilvl w:val="0"/>
          <w:numId w:val="4"/>
        </w:numPr>
        <w:spacing w:after="200" w:line="276" w:lineRule="auto"/>
        <w:contextualSpacing/>
        <w:rPr>
          <w:rFonts w:cstheme="minorHAnsi"/>
        </w:rPr>
      </w:pPr>
      <w:r w:rsidRPr="00424BBC">
        <w:rPr>
          <w:rFonts w:cstheme="minorHAnsi"/>
        </w:rPr>
        <w:t>City Council constituent services</w:t>
      </w:r>
    </w:p>
    <w:p w:rsidR="00424BBC" w:rsidRPr="00424BBC" w:rsidRDefault="00424BBC" w:rsidP="00424BBC">
      <w:pPr>
        <w:numPr>
          <w:ilvl w:val="0"/>
          <w:numId w:val="4"/>
        </w:numPr>
        <w:spacing w:after="200" w:line="276" w:lineRule="auto"/>
        <w:contextualSpacing/>
        <w:rPr>
          <w:rFonts w:cstheme="minorHAnsi"/>
        </w:rPr>
      </w:pPr>
      <w:r w:rsidRPr="00424BBC">
        <w:rPr>
          <w:rFonts w:cstheme="minorHAnsi"/>
        </w:rPr>
        <w:t>Workshops with partners and advisory committee members</w:t>
      </w:r>
    </w:p>
    <w:p w:rsidR="00424BBC" w:rsidRDefault="00424BBC" w:rsidP="00424BBC">
      <w:pPr>
        <w:numPr>
          <w:ilvl w:val="0"/>
          <w:numId w:val="4"/>
        </w:numPr>
        <w:spacing w:after="200" w:line="276" w:lineRule="auto"/>
        <w:contextualSpacing/>
        <w:rPr>
          <w:rFonts w:cstheme="minorHAnsi"/>
        </w:rPr>
      </w:pPr>
      <w:r w:rsidRPr="00424BBC">
        <w:rPr>
          <w:rFonts w:cstheme="minorHAnsi"/>
        </w:rPr>
        <w:t>Mailings</w:t>
      </w:r>
    </w:p>
    <w:p w:rsidR="00BD65C8" w:rsidRPr="00424BBC" w:rsidRDefault="00BD65C8" w:rsidP="00424BBC">
      <w:pPr>
        <w:numPr>
          <w:ilvl w:val="0"/>
          <w:numId w:val="4"/>
        </w:numPr>
        <w:spacing w:after="200" w:line="276" w:lineRule="auto"/>
        <w:contextualSpacing/>
        <w:rPr>
          <w:rFonts w:cstheme="minorHAnsi"/>
        </w:rPr>
      </w:pPr>
      <w:r>
        <w:rPr>
          <w:rFonts w:cstheme="minorHAnsi"/>
        </w:rPr>
        <w:t>Other</w:t>
      </w:r>
    </w:p>
    <w:p w:rsidR="00424BBC" w:rsidRPr="00424BBC" w:rsidRDefault="00424BBC">
      <w:pPr>
        <w:rPr>
          <w:rFonts w:cstheme="minorHAnsi"/>
        </w:rPr>
      </w:pPr>
    </w:p>
    <w:p w:rsidR="00424BBC" w:rsidRPr="00424BBC" w:rsidRDefault="00424BBC">
      <w:pPr>
        <w:rPr>
          <w:rFonts w:cstheme="minorHAnsi"/>
        </w:rPr>
      </w:pPr>
    </w:p>
    <w:p w:rsidR="00424BBC" w:rsidRPr="00BD65C8" w:rsidRDefault="00424BBC" w:rsidP="00BD65C8">
      <w:pPr>
        <w:pStyle w:val="ListParagraph"/>
        <w:numPr>
          <w:ilvl w:val="0"/>
          <w:numId w:val="3"/>
        </w:numPr>
        <w:rPr>
          <w:rFonts w:cstheme="minorHAnsi"/>
          <w:u w:val="single"/>
        </w:rPr>
      </w:pPr>
      <w:r w:rsidRPr="00BD65C8">
        <w:rPr>
          <w:rFonts w:cstheme="minorHAnsi"/>
          <w:u w:val="single"/>
        </w:rPr>
        <w:t>Focus Groups</w:t>
      </w:r>
      <w:r w:rsidR="00BD65C8" w:rsidRPr="00BD65C8">
        <w:rPr>
          <w:rFonts w:cstheme="minorHAnsi"/>
          <w:u w:val="single"/>
        </w:rPr>
        <w:t xml:space="preserve"> for Applications Review</w:t>
      </w:r>
    </w:p>
    <w:p w:rsidR="00424BBC" w:rsidRPr="00424BBC" w:rsidRDefault="00424BBC">
      <w:pPr>
        <w:rPr>
          <w:rFonts w:cstheme="minorHAnsi"/>
        </w:rPr>
      </w:pPr>
    </w:p>
    <w:p w:rsidR="00424BBC" w:rsidRPr="00424BBC" w:rsidRDefault="00424BBC" w:rsidP="00424BBC">
      <w:pPr>
        <w:rPr>
          <w:rFonts w:cstheme="minorHAnsi"/>
        </w:rPr>
      </w:pPr>
      <w:r w:rsidRPr="00424BBC">
        <w:rPr>
          <w:rFonts w:cstheme="minorHAnsi"/>
        </w:rPr>
        <w:t>A final draft application has been developed and one of our first goals is to ensure that the application itself makes sense to our customers and is easy to navigate. To keep the momentum of this program moving forward, we are looking to host a focus group(s) with the assistance of your organizations. We are hoping that each of you may be able to bring a few clients to this session.</w:t>
      </w:r>
    </w:p>
    <w:p w:rsidR="00424BBC" w:rsidRPr="00424BBC" w:rsidRDefault="00424BBC" w:rsidP="00424BBC">
      <w:pPr>
        <w:rPr>
          <w:rFonts w:cstheme="minorHAnsi"/>
        </w:rPr>
      </w:pPr>
    </w:p>
    <w:p w:rsidR="00424BBC" w:rsidRPr="00424BBC" w:rsidRDefault="00424BBC" w:rsidP="00424BBC">
      <w:pPr>
        <w:rPr>
          <w:rFonts w:cstheme="minorHAnsi"/>
        </w:rPr>
      </w:pPr>
      <w:r w:rsidRPr="00424BBC">
        <w:rPr>
          <w:rFonts w:cstheme="minorHAnsi"/>
        </w:rPr>
        <w:t xml:space="preserve">Tentatively planning the focus group session (s) for the week of October 10 and will be looking for your advice as to whether daytime or early evening is better. </w:t>
      </w:r>
    </w:p>
    <w:p w:rsidR="00424BBC" w:rsidRPr="00424BBC" w:rsidRDefault="00424BBC" w:rsidP="00424BBC">
      <w:pPr>
        <w:rPr>
          <w:rFonts w:cstheme="minorHAnsi"/>
        </w:rPr>
      </w:pPr>
    </w:p>
    <w:p w:rsidR="00424BBC" w:rsidRDefault="00BD65C8" w:rsidP="00BD65C8">
      <w:pPr>
        <w:pStyle w:val="ListParagraph"/>
        <w:numPr>
          <w:ilvl w:val="0"/>
          <w:numId w:val="3"/>
        </w:numPr>
        <w:rPr>
          <w:rFonts w:cstheme="minorHAnsi"/>
          <w:u w:val="single"/>
        </w:rPr>
      </w:pPr>
      <w:r w:rsidRPr="00BD65C8">
        <w:rPr>
          <w:rFonts w:cstheme="minorHAnsi"/>
          <w:u w:val="single"/>
        </w:rPr>
        <w:t>Focus Groups Format</w:t>
      </w:r>
    </w:p>
    <w:p w:rsidR="00BD65C8" w:rsidRDefault="00BD65C8" w:rsidP="00BD65C8">
      <w:pPr>
        <w:shd w:val="clear" w:color="auto" w:fill="FFFFFF"/>
        <w:spacing w:before="100" w:beforeAutospacing="1" w:after="100" w:afterAutospacing="1"/>
        <w:rPr>
          <w:rFonts w:ascii="Calibri" w:eastAsia="Times New Roman" w:hAnsi="Calibri" w:cs="Calibri"/>
          <w:color w:val="000000"/>
        </w:rPr>
      </w:pPr>
      <w:r>
        <w:rPr>
          <w:rFonts w:ascii="Calibri" w:eastAsia="Times New Roman" w:hAnsi="Calibri" w:cs="Calibri"/>
          <w:color w:val="000000"/>
        </w:rPr>
        <w:t xml:space="preserve">Each stakeholder group </w:t>
      </w:r>
      <w:proofErr w:type="gramStart"/>
      <w:r>
        <w:rPr>
          <w:rFonts w:ascii="Calibri" w:eastAsia="Times New Roman" w:hAnsi="Calibri" w:cs="Calibri"/>
          <w:color w:val="000000"/>
        </w:rPr>
        <w:t>recruit</w:t>
      </w:r>
      <w:proofErr w:type="gramEnd"/>
      <w:r>
        <w:rPr>
          <w:rFonts w:ascii="Calibri" w:eastAsia="Times New Roman" w:hAnsi="Calibri" w:cs="Calibri"/>
          <w:color w:val="000000"/>
        </w:rPr>
        <w:t xml:space="preserve"> members to participate in a</w:t>
      </w:r>
      <w:r>
        <w:rPr>
          <w:rFonts w:ascii="Calibri" w:eastAsia="Times New Roman" w:hAnsi="Calibri" w:cs="Calibri"/>
          <w:color w:val="000000"/>
        </w:rPr>
        <w:t xml:space="preserve"> focus group.  The </w:t>
      </w:r>
      <w:proofErr w:type="gramStart"/>
      <w:r>
        <w:rPr>
          <w:rFonts w:ascii="Calibri" w:eastAsia="Times New Roman" w:hAnsi="Calibri" w:cs="Calibri"/>
          <w:color w:val="000000"/>
        </w:rPr>
        <w:t>incentive to pa</w:t>
      </w:r>
      <w:r>
        <w:rPr>
          <w:rFonts w:ascii="Calibri" w:eastAsia="Times New Roman" w:hAnsi="Calibri" w:cs="Calibri"/>
          <w:color w:val="000000"/>
        </w:rPr>
        <w:t>rticipate includes a preview of the</w:t>
      </w:r>
      <w:r>
        <w:rPr>
          <w:rFonts w:ascii="Calibri" w:eastAsia="Times New Roman" w:hAnsi="Calibri" w:cs="Calibri"/>
          <w:color w:val="000000"/>
        </w:rPr>
        <w:t xml:space="preserve"> new programs and get</w:t>
      </w:r>
      <w:proofErr w:type="gramEnd"/>
      <w:r>
        <w:rPr>
          <w:rFonts w:ascii="Calibri" w:eastAsia="Times New Roman" w:hAnsi="Calibri" w:cs="Calibri"/>
          <w:color w:val="000000"/>
        </w:rPr>
        <w:t xml:space="preserve"> to help make the program better, which would help </w:t>
      </w:r>
      <w:r>
        <w:rPr>
          <w:rFonts w:ascii="Calibri" w:eastAsia="Times New Roman" w:hAnsi="Calibri" w:cs="Calibri"/>
          <w:color w:val="000000"/>
        </w:rPr>
        <w:t>members of their community. We’ll also provide refreshments.</w:t>
      </w:r>
    </w:p>
    <w:p w:rsidR="00BD65C8" w:rsidRPr="00BD65C8" w:rsidRDefault="00BD65C8" w:rsidP="00BD65C8">
      <w:pPr>
        <w:pStyle w:val="ListParagraph"/>
        <w:numPr>
          <w:ilvl w:val="0"/>
          <w:numId w:val="6"/>
        </w:numPr>
        <w:shd w:val="clear" w:color="auto" w:fill="FFFFFF"/>
        <w:spacing w:before="100" w:beforeAutospacing="1" w:after="100" w:afterAutospacing="1"/>
        <w:rPr>
          <w:rFonts w:ascii="Calibri" w:eastAsia="Times New Roman" w:hAnsi="Calibri" w:cs="Calibri"/>
          <w:color w:val="000000"/>
        </w:rPr>
      </w:pPr>
      <w:r w:rsidRPr="00BD65C8">
        <w:rPr>
          <w:rFonts w:ascii="Calibri" w:eastAsia="Times New Roman" w:hAnsi="Calibri" w:cs="Calibri"/>
          <w:color w:val="000000"/>
        </w:rPr>
        <w:t>P</w:t>
      </w:r>
      <w:r>
        <w:rPr>
          <w:rFonts w:ascii="Calibri" w:eastAsia="Times New Roman" w:hAnsi="Calibri" w:cs="Calibri"/>
          <w:color w:val="000000"/>
        </w:rPr>
        <w:t>rovide</w:t>
      </w:r>
      <w:r w:rsidRPr="00BD65C8">
        <w:rPr>
          <w:rFonts w:ascii="Calibri" w:eastAsia="Times New Roman" w:hAnsi="Calibri" w:cs="Calibri"/>
          <w:color w:val="000000"/>
        </w:rPr>
        <w:t xml:space="preserve"> a short description of the pr</w:t>
      </w:r>
      <w:r>
        <w:rPr>
          <w:rFonts w:ascii="Calibri" w:eastAsia="Times New Roman" w:hAnsi="Calibri" w:cs="Calibri"/>
          <w:color w:val="000000"/>
        </w:rPr>
        <w:t>ogram (5 minutes), and provide</w:t>
      </w:r>
      <w:r w:rsidRPr="00BD65C8">
        <w:rPr>
          <w:rFonts w:ascii="Calibri" w:eastAsia="Times New Roman" w:hAnsi="Calibri" w:cs="Calibri"/>
          <w:color w:val="000000"/>
        </w:rPr>
        <w:t xml:space="preserve"> </w:t>
      </w:r>
      <w:r>
        <w:rPr>
          <w:rFonts w:ascii="Calibri" w:eastAsia="Times New Roman" w:hAnsi="Calibri" w:cs="Calibri"/>
          <w:color w:val="000000"/>
        </w:rPr>
        <w:t>a copy of the draft</w:t>
      </w:r>
      <w:r w:rsidRPr="00BD65C8">
        <w:rPr>
          <w:rFonts w:ascii="Calibri" w:eastAsia="Times New Roman" w:hAnsi="Calibri" w:cs="Calibri"/>
          <w:color w:val="000000"/>
        </w:rPr>
        <w:t xml:space="preserve"> application.</w:t>
      </w:r>
    </w:p>
    <w:p w:rsidR="00BD65C8" w:rsidRPr="00BD65C8" w:rsidRDefault="00BD65C8" w:rsidP="00BD65C8">
      <w:pPr>
        <w:pStyle w:val="ListParagraph"/>
        <w:numPr>
          <w:ilvl w:val="0"/>
          <w:numId w:val="6"/>
        </w:numPr>
        <w:shd w:val="clear" w:color="auto" w:fill="FFFFFF"/>
        <w:spacing w:before="100" w:beforeAutospacing="1" w:after="100" w:afterAutospacing="1"/>
        <w:rPr>
          <w:rFonts w:ascii="Calibri" w:eastAsia="Times New Roman" w:hAnsi="Calibri" w:cs="Calibri"/>
          <w:color w:val="000000"/>
        </w:rPr>
      </w:pPr>
      <w:r>
        <w:rPr>
          <w:rFonts w:ascii="Calibri" w:eastAsia="Times New Roman" w:hAnsi="Calibri" w:cs="Calibri"/>
          <w:color w:val="000000"/>
        </w:rPr>
        <w:t>Participants review for 10 minutes and are</w:t>
      </w:r>
      <w:r w:rsidRPr="00BD65C8">
        <w:rPr>
          <w:rFonts w:ascii="Calibri" w:eastAsia="Times New Roman" w:hAnsi="Calibri" w:cs="Calibri"/>
          <w:color w:val="000000"/>
        </w:rPr>
        <w:t xml:space="preserve"> given stic</w:t>
      </w:r>
      <w:r>
        <w:rPr>
          <w:rFonts w:ascii="Calibri" w:eastAsia="Times New Roman" w:hAnsi="Calibri" w:cs="Calibri"/>
          <w:color w:val="000000"/>
        </w:rPr>
        <w:t>kers. They will be</w:t>
      </w:r>
      <w:r w:rsidRPr="00BD65C8">
        <w:rPr>
          <w:rFonts w:ascii="Calibri" w:eastAsia="Times New Roman" w:hAnsi="Calibri" w:cs="Calibri"/>
          <w:color w:val="000000"/>
        </w:rPr>
        <w:t xml:space="preserve"> instructed to place the stickers next to anything that was problematic (confusing, not fair....)</w:t>
      </w:r>
    </w:p>
    <w:p w:rsidR="00592F1A" w:rsidRDefault="00BD65C8" w:rsidP="00592F1A">
      <w:pPr>
        <w:pStyle w:val="ListParagraph"/>
        <w:numPr>
          <w:ilvl w:val="0"/>
          <w:numId w:val="6"/>
        </w:numPr>
        <w:shd w:val="clear" w:color="auto" w:fill="FFFFFF"/>
        <w:spacing w:before="100" w:beforeAutospacing="1" w:after="100" w:afterAutospacing="1"/>
        <w:rPr>
          <w:rFonts w:ascii="Calibri" w:eastAsia="Times New Roman" w:hAnsi="Calibri" w:cs="Calibri"/>
          <w:color w:val="000000"/>
        </w:rPr>
      </w:pPr>
      <w:r w:rsidRPr="00592F1A">
        <w:rPr>
          <w:rFonts w:ascii="Calibri" w:eastAsia="Times New Roman" w:hAnsi="Calibri" w:cs="Calibri"/>
          <w:color w:val="000000"/>
        </w:rPr>
        <w:lastRenderedPageBreak/>
        <w:t>After the 10 minutes, collect the</w:t>
      </w:r>
      <w:proofErr w:type="gramStart"/>
      <w:r w:rsidRPr="00592F1A">
        <w:rPr>
          <w:rFonts w:ascii="Calibri" w:eastAsia="Times New Roman" w:hAnsi="Calibri" w:cs="Calibri"/>
          <w:color w:val="000000"/>
        </w:rPr>
        <w:t>  applications</w:t>
      </w:r>
      <w:proofErr w:type="gramEnd"/>
      <w:r w:rsidRPr="00592F1A">
        <w:rPr>
          <w:rFonts w:ascii="Calibri" w:eastAsia="Times New Roman" w:hAnsi="Calibri" w:cs="Calibri"/>
          <w:color w:val="000000"/>
        </w:rPr>
        <w:t xml:space="preserve"> </w:t>
      </w:r>
      <w:r w:rsidR="00592F1A" w:rsidRPr="00592F1A">
        <w:rPr>
          <w:rFonts w:ascii="Calibri" w:eastAsia="Times New Roman" w:hAnsi="Calibri" w:cs="Calibri"/>
          <w:color w:val="000000"/>
        </w:rPr>
        <w:t>and quick review</w:t>
      </w:r>
      <w:r w:rsidRPr="00592F1A">
        <w:rPr>
          <w:rFonts w:ascii="Calibri" w:eastAsia="Times New Roman" w:hAnsi="Calibri" w:cs="Calibri"/>
          <w:color w:val="000000"/>
        </w:rPr>
        <w:t xml:space="preserve"> them to see if there were sections where lots of people had placed stickers.</w:t>
      </w:r>
    </w:p>
    <w:p w:rsidR="00592F1A" w:rsidRDefault="00592F1A" w:rsidP="00592F1A">
      <w:pPr>
        <w:pStyle w:val="ListParagraph"/>
        <w:numPr>
          <w:ilvl w:val="0"/>
          <w:numId w:val="6"/>
        </w:numPr>
        <w:shd w:val="clear" w:color="auto" w:fill="FFFFFF"/>
        <w:spacing w:before="100" w:beforeAutospacing="1" w:after="100" w:afterAutospacing="1"/>
        <w:rPr>
          <w:rFonts w:ascii="Calibri" w:eastAsia="Times New Roman" w:hAnsi="Calibri" w:cs="Calibri"/>
          <w:color w:val="000000"/>
        </w:rPr>
      </w:pPr>
      <w:r w:rsidRPr="00592F1A">
        <w:rPr>
          <w:rFonts w:ascii="Calibri" w:eastAsia="Times New Roman" w:hAnsi="Calibri" w:cs="Calibri"/>
          <w:color w:val="000000"/>
        </w:rPr>
        <w:t>Discuss what i</w:t>
      </w:r>
      <w:r w:rsidR="00BD65C8" w:rsidRPr="00592F1A">
        <w:rPr>
          <w:rFonts w:ascii="Calibri" w:eastAsia="Times New Roman" w:hAnsi="Calibri" w:cs="Calibri"/>
          <w:color w:val="000000"/>
        </w:rPr>
        <w:t xml:space="preserve">s confusing, what they thought it </w:t>
      </w:r>
      <w:proofErr w:type="gramStart"/>
      <w:r w:rsidR="00BD65C8" w:rsidRPr="00592F1A">
        <w:rPr>
          <w:rFonts w:ascii="Calibri" w:eastAsia="Times New Roman" w:hAnsi="Calibri" w:cs="Calibri"/>
          <w:color w:val="000000"/>
        </w:rPr>
        <w:t>meant</w:t>
      </w:r>
      <w:r>
        <w:rPr>
          <w:rFonts w:ascii="Calibri" w:eastAsia="Times New Roman" w:hAnsi="Calibri" w:cs="Calibri"/>
          <w:color w:val="000000"/>
        </w:rPr>
        <w:t>,</w:t>
      </w:r>
      <w:proofErr w:type="gramEnd"/>
      <w:r>
        <w:rPr>
          <w:rFonts w:ascii="Calibri" w:eastAsia="Times New Roman" w:hAnsi="Calibri" w:cs="Calibri"/>
          <w:color w:val="000000"/>
        </w:rPr>
        <w:t xml:space="preserve"> what we were trying to say.</w:t>
      </w:r>
    </w:p>
    <w:p w:rsidR="00592F1A" w:rsidRDefault="00592F1A" w:rsidP="00592F1A">
      <w:pPr>
        <w:pStyle w:val="ListParagraph"/>
        <w:numPr>
          <w:ilvl w:val="0"/>
          <w:numId w:val="6"/>
        </w:numPr>
        <w:shd w:val="clear" w:color="auto" w:fill="FFFFFF"/>
        <w:spacing w:before="100" w:beforeAutospacing="1" w:after="100" w:afterAutospacing="1"/>
        <w:rPr>
          <w:rFonts w:ascii="Calibri" w:eastAsia="Times New Roman" w:hAnsi="Calibri" w:cs="Calibri"/>
          <w:color w:val="000000"/>
        </w:rPr>
      </w:pPr>
      <w:r>
        <w:rPr>
          <w:rFonts w:ascii="Calibri" w:eastAsia="Times New Roman" w:hAnsi="Calibri" w:cs="Calibri"/>
          <w:color w:val="000000"/>
        </w:rPr>
        <w:t xml:space="preserve">PWD/WRB uses this feedback </w:t>
      </w:r>
      <w:proofErr w:type="gramStart"/>
      <w:r>
        <w:rPr>
          <w:rFonts w:ascii="Calibri" w:eastAsia="Times New Roman" w:hAnsi="Calibri" w:cs="Calibri"/>
          <w:color w:val="000000"/>
        </w:rPr>
        <w:t>to  review</w:t>
      </w:r>
      <w:proofErr w:type="gramEnd"/>
      <w:r>
        <w:rPr>
          <w:rFonts w:ascii="Calibri" w:eastAsia="Times New Roman" w:hAnsi="Calibri" w:cs="Calibri"/>
          <w:color w:val="000000"/>
        </w:rPr>
        <w:t xml:space="preserve"> opportunities to incorporate suggestions in application and supporting materials.</w:t>
      </w:r>
    </w:p>
    <w:p w:rsidR="00592F1A" w:rsidRPr="00592F1A" w:rsidRDefault="00592F1A" w:rsidP="00592F1A">
      <w:pPr>
        <w:pStyle w:val="ListParagraph"/>
        <w:numPr>
          <w:ilvl w:val="0"/>
          <w:numId w:val="6"/>
        </w:numPr>
        <w:shd w:val="clear" w:color="auto" w:fill="FFFFFF"/>
        <w:spacing w:before="100" w:beforeAutospacing="1" w:after="100" w:afterAutospacing="1"/>
        <w:rPr>
          <w:rFonts w:cstheme="minorHAnsi"/>
          <w:u w:val="single"/>
        </w:rPr>
      </w:pPr>
      <w:r>
        <w:rPr>
          <w:rFonts w:ascii="Calibri" w:eastAsia="Times New Roman" w:hAnsi="Calibri" w:cs="Calibri"/>
          <w:color w:val="000000"/>
        </w:rPr>
        <w:t>Each session takes</w:t>
      </w:r>
      <w:r w:rsidR="00BD65C8" w:rsidRPr="00592F1A">
        <w:rPr>
          <w:rFonts w:ascii="Calibri" w:eastAsia="Times New Roman" w:hAnsi="Calibri" w:cs="Calibri"/>
          <w:color w:val="000000"/>
        </w:rPr>
        <w:t xml:space="preserve"> about 45 minutes</w:t>
      </w:r>
    </w:p>
    <w:p w:rsidR="00592F1A" w:rsidRPr="00592F1A" w:rsidRDefault="00592F1A" w:rsidP="00592F1A">
      <w:pPr>
        <w:pStyle w:val="ListParagraph"/>
        <w:shd w:val="clear" w:color="auto" w:fill="FFFFFF"/>
        <w:spacing w:before="100" w:beforeAutospacing="1" w:after="100" w:afterAutospacing="1"/>
        <w:rPr>
          <w:rFonts w:cstheme="minorHAnsi"/>
          <w:u w:val="single"/>
        </w:rPr>
      </w:pPr>
    </w:p>
    <w:p w:rsidR="00592F1A" w:rsidRPr="00592F1A" w:rsidRDefault="00592F1A" w:rsidP="00592F1A">
      <w:pPr>
        <w:pStyle w:val="ListParagraph"/>
        <w:numPr>
          <w:ilvl w:val="0"/>
          <w:numId w:val="3"/>
        </w:numPr>
        <w:shd w:val="clear" w:color="auto" w:fill="FFFFFF"/>
        <w:spacing w:before="100" w:beforeAutospacing="1" w:after="100" w:afterAutospacing="1"/>
        <w:rPr>
          <w:rFonts w:cstheme="minorHAnsi"/>
          <w:u w:val="single"/>
        </w:rPr>
      </w:pPr>
      <w:r>
        <w:rPr>
          <w:rFonts w:cstheme="minorHAnsi"/>
          <w:u w:val="single"/>
        </w:rPr>
        <w:t>Scheduling focus groups</w:t>
      </w:r>
    </w:p>
    <w:sectPr w:rsidR="00592F1A" w:rsidRPr="00592F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57F51"/>
    <w:multiLevelType w:val="hybridMultilevel"/>
    <w:tmpl w:val="B18E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9B023C"/>
    <w:multiLevelType w:val="hybridMultilevel"/>
    <w:tmpl w:val="BB763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ED61B8"/>
    <w:multiLevelType w:val="hybridMultilevel"/>
    <w:tmpl w:val="42CE2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E46F01"/>
    <w:multiLevelType w:val="multilevel"/>
    <w:tmpl w:val="9514B2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68595FF5"/>
    <w:multiLevelType w:val="hybridMultilevel"/>
    <w:tmpl w:val="4D0C3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260ED1"/>
    <w:multiLevelType w:val="hybridMultilevel"/>
    <w:tmpl w:val="2EBEB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lvlOverride w:ilvl="0"/>
    <w:lvlOverride w:ilvl="1"/>
    <w:lvlOverride w:ilvl="2"/>
    <w:lvlOverride w:ilvl="3"/>
    <w:lvlOverride w:ilvl="4"/>
    <w:lvlOverride w:ilvl="5"/>
    <w:lvlOverride w:ilvl="6"/>
    <w:lvlOverride w:ilvl="7"/>
    <w:lvlOverride w:ilvl="8"/>
  </w:num>
  <w:num w:numId="2">
    <w:abstractNumId w:val="4"/>
  </w:num>
  <w:num w:numId="3">
    <w:abstractNumId w:val="1"/>
  </w:num>
  <w:num w:numId="4">
    <w:abstractNumId w:val="2"/>
  </w:num>
  <w:num w:numId="5">
    <w:abstractNumId w:val="3"/>
    <w:lvlOverride w:ilvl="0"/>
    <w:lvlOverride w:ilvl="1"/>
    <w:lvlOverride w:ilvl="2"/>
    <w:lvlOverride w:ilvl="3"/>
    <w:lvlOverride w:ilvl="4"/>
    <w:lvlOverride w:ilvl="5"/>
    <w:lvlOverride w:ilvl="6"/>
    <w:lvlOverride w:ilvl="7"/>
    <w:lvlOverride w:ilvl="8"/>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BBC"/>
    <w:rsid w:val="000A1355"/>
    <w:rsid w:val="00252772"/>
    <w:rsid w:val="00424BBC"/>
    <w:rsid w:val="00592F1A"/>
    <w:rsid w:val="00BD65C8"/>
    <w:rsid w:val="00EC4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BB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BBC"/>
    <w:pPr>
      <w:spacing w:after="200" w:line="276" w:lineRule="auto"/>
      <w:ind w:left="720"/>
      <w:contextualSpacing/>
    </w:pPr>
  </w:style>
  <w:style w:type="table" w:styleId="TableGrid">
    <w:name w:val="Table Grid"/>
    <w:basedOn w:val="TableNormal"/>
    <w:uiPriority w:val="59"/>
    <w:rsid w:val="00424B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BB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BBC"/>
    <w:pPr>
      <w:spacing w:after="200" w:line="276" w:lineRule="auto"/>
      <w:ind w:left="720"/>
      <w:contextualSpacing/>
    </w:pPr>
  </w:style>
  <w:style w:type="table" w:styleId="TableGrid">
    <w:name w:val="Table Grid"/>
    <w:basedOn w:val="TableNormal"/>
    <w:uiPriority w:val="59"/>
    <w:rsid w:val="00424B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169530">
      <w:bodyDiv w:val="1"/>
      <w:marLeft w:val="0"/>
      <w:marRight w:val="0"/>
      <w:marTop w:val="0"/>
      <w:marBottom w:val="0"/>
      <w:divBdr>
        <w:top w:val="none" w:sz="0" w:space="0" w:color="auto"/>
        <w:left w:val="none" w:sz="0" w:space="0" w:color="auto"/>
        <w:bottom w:val="none" w:sz="0" w:space="0" w:color="auto"/>
        <w:right w:val="none" w:sz="0" w:space="0" w:color="auto"/>
      </w:divBdr>
    </w:div>
    <w:div w:id="1440376055">
      <w:bodyDiv w:val="1"/>
      <w:marLeft w:val="0"/>
      <w:marRight w:val="0"/>
      <w:marTop w:val="0"/>
      <w:marBottom w:val="0"/>
      <w:divBdr>
        <w:top w:val="none" w:sz="0" w:space="0" w:color="auto"/>
        <w:left w:val="none" w:sz="0" w:space="0" w:color="auto"/>
        <w:bottom w:val="none" w:sz="0" w:space="0" w:color="auto"/>
        <w:right w:val="none" w:sz="0" w:space="0" w:color="auto"/>
      </w:divBdr>
    </w:div>
    <w:div w:id="146755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Dahme</dc:creator>
  <cp:lastModifiedBy>Joanne Dahme</cp:lastModifiedBy>
  <cp:revision>2</cp:revision>
  <dcterms:created xsi:type="dcterms:W3CDTF">2016-10-04T16:37:00Z</dcterms:created>
  <dcterms:modified xsi:type="dcterms:W3CDTF">2016-10-04T16:37:00Z</dcterms:modified>
</cp:coreProperties>
</file>